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C1B91">
      <w:pPr>
        <w:spacing w:line="570" w:lineRule="exact"/>
        <w:jc w:val="center"/>
        <w:rPr>
          <w:rFonts w:ascii="Nimbus Roman" w:hAnsi="Nimbus Roman" w:eastAsia="方正小标宋简体" w:cs="Nimbus Roman"/>
          <w:sz w:val="44"/>
          <w:szCs w:val="44"/>
        </w:rPr>
      </w:pPr>
      <w:r>
        <w:rPr>
          <w:rFonts w:ascii="Nimbus Roman" w:hAnsi="Nimbus Roman" w:eastAsia="方正小标宋简体" w:cs="Nimbus Roman"/>
          <w:sz w:val="44"/>
          <w:szCs w:val="44"/>
        </w:rPr>
        <w:t>唐山市二次供水管理细则</w:t>
      </w:r>
    </w:p>
    <w:p w14:paraId="2C6A865C">
      <w:pPr>
        <w:spacing w:line="570" w:lineRule="exact"/>
        <w:jc w:val="center"/>
        <w:rPr>
          <w:rFonts w:hint="eastAsia" w:ascii="CESI楷体-GB13000" w:hAnsi="CESI楷体-GB13000" w:eastAsia="CESI楷体-GB13000" w:cs="CESI楷体-GB13000"/>
          <w:sz w:val="32"/>
          <w:szCs w:val="32"/>
        </w:rPr>
      </w:pPr>
      <w:r>
        <w:rPr>
          <w:rFonts w:hint="eastAsia" w:ascii="CESI楷体-GB13000" w:hAnsi="CESI楷体-GB13000" w:eastAsia="CESI楷体-GB13000" w:cs="CESI楷体-GB13000"/>
          <w:sz w:val="32"/>
          <w:szCs w:val="32"/>
        </w:rPr>
        <w:t>（征求意见稿）</w:t>
      </w:r>
    </w:p>
    <w:p w14:paraId="0DB1347E">
      <w:pPr>
        <w:spacing w:line="570" w:lineRule="exact"/>
        <w:jc w:val="center"/>
        <w:rPr>
          <w:rFonts w:ascii="Nimbus Roman" w:hAnsi="Nimbus Roman" w:eastAsia="方正小标宋简体" w:cs="Nimbus Roman"/>
          <w:sz w:val="44"/>
          <w:szCs w:val="44"/>
        </w:rPr>
      </w:pPr>
    </w:p>
    <w:p w14:paraId="62377AAC">
      <w:pPr>
        <w:pStyle w:val="30"/>
        <w:spacing w:after="0" w:line="570" w:lineRule="exact"/>
        <w:ind w:left="0"/>
        <w:jc w:val="center"/>
        <w:rPr>
          <w:rFonts w:ascii="Nimbus Roman" w:hAnsi="Nimbus Roman" w:eastAsia="方正黑体_GBK" w:cs="Nimbus Roman"/>
          <w:sz w:val="32"/>
          <w:szCs w:val="32"/>
        </w:rPr>
      </w:pPr>
      <w:r>
        <w:rPr>
          <w:rFonts w:ascii="Nimbus Roman" w:hAnsi="Nimbus Roman" w:eastAsia="方正黑体_GBK" w:cs="Nimbus Roman"/>
          <w:sz w:val="32"/>
          <w:szCs w:val="32"/>
        </w:rPr>
        <w:t>第一章  总则</w:t>
      </w:r>
    </w:p>
    <w:p w14:paraId="0569FB78">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 xml:space="preserve">第一条  </w:t>
      </w:r>
      <w:r>
        <w:rPr>
          <w:rFonts w:ascii="Nimbus Roman" w:hAnsi="Nimbus Roman" w:eastAsia="仿宋" w:cs="Nimbus Roman"/>
          <w:sz w:val="32"/>
          <w:szCs w:val="32"/>
        </w:rPr>
        <w:t>为规范二次供水管理，保障生活饮用水二次供水安全，根据《唐山市城市供水用水管理条例》《</w:t>
      </w:r>
      <w:r>
        <w:rPr>
          <w:rFonts w:hint="eastAsia" w:ascii="Nimbus Roman" w:hAnsi="Nimbus Roman" w:eastAsia="仿宋" w:cs="Nimbus Roman"/>
          <w:sz w:val="32"/>
          <w:szCs w:val="32"/>
        </w:rPr>
        <w:t>二次供水设施卫生规范</w:t>
      </w:r>
      <w:r>
        <w:rPr>
          <w:rFonts w:ascii="Nimbus Roman" w:hAnsi="Nimbus Roman" w:eastAsia="仿宋" w:cs="Nimbus Roman"/>
          <w:sz w:val="32"/>
          <w:szCs w:val="32"/>
        </w:rPr>
        <w:t>》《建筑给水排水设计</w:t>
      </w:r>
      <w:r>
        <w:rPr>
          <w:rFonts w:hint="eastAsia" w:ascii="Nimbus Roman" w:hAnsi="Nimbus Roman" w:eastAsia="仿宋" w:cs="Nimbus Roman"/>
          <w:sz w:val="32"/>
          <w:szCs w:val="32"/>
        </w:rPr>
        <w:t>标准</w:t>
      </w:r>
      <w:r>
        <w:rPr>
          <w:rFonts w:ascii="Nimbus Roman" w:hAnsi="Nimbus Roman" w:eastAsia="仿宋" w:cs="Nimbus Roman"/>
          <w:sz w:val="32"/>
          <w:szCs w:val="32"/>
        </w:rPr>
        <w:t xml:space="preserve">》《二次供水工程技术规程》等法规，结合本市实际，制定本细则。  </w:t>
      </w:r>
    </w:p>
    <w:p w14:paraId="4DE0DC0C">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 xml:space="preserve">第二条 </w:t>
      </w:r>
      <w:r>
        <w:rPr>
          <w:rFonts w:ascii="Nimbus Roman" w:hAnsi="Nimbus Roman" w:eastAsia="仿宋" w:cs="Nimbus Roman"/>
          <w:sz w:val="32"/>
          <w:szCs w:val="32"/>
        </w:rPr>
        <w:t xml:space="preserve"> 本市行政区域内二次供水设施的运行维护及监督管理适用本细则。  </w:t>
      </w:r>
    </w:p>
    <w:p w14:paraId="46668DB4">
      <w:pPr>
        <w:pStyle w:val="30"/>
        <w:spacing w:after="0"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第三条</w:t>
      </w:r>
      <w:r>
        <w:rPr>
          <w:rFonts w:ascii="Nimbus Roman" w:hAnsi="Nimbus Roman" w:eastAsia="仿宋" w:cs="Nimbus Roman"/>
          <w:sz w:val="32"/>
          <w:szCs w:val="32"/>
        </w:rPr>
        <w:t xml:space="preserve">  本细则所称二次供水是指将集中式供水系统的生活饮用水经贮存、加压或者通过水处理设备采用过滤、吸附、软化、消毒等措施再处理后，由管道输送</w:t>
      </w:r>
      <w:r>
        <w:rPr>
          <w:rFonts w:hint="eastAsia" w:ascii="Nimbus Roman" w:hAnsi="Nimbus Roman" w:eastAsia="仿宋" w:cs="Nimbus Roman"/>
          <w:color w:val="auto"/>
          <w:sz w:val="32"/>
          <w:szCs w:val="32"/>
          <w:lang w:eastAsia="zh-CN"/>
        </w:rPr>
        <w:t>给</w:t>
      </w:r>
      <w:r>
        <w:rPr>
          <w:rFonts w:ascii="Nimbus Roman" w:hAnsi="Nimbus Roman" w:eastAsia="仿宋" w:cs="Nimbus Roman"/>
          <w:sz w:val="32"/>
          <w:szCs w:val="32"/>
        </w:rPr>
        <w:t>用户的供水方式。</w:t>
      </w:r>
    </w:p>
    <w:p w14:paraId="675707F5">
      <w:pPr>
        <w:spacing w:after="0" w:line="570" w:lineRule="exact"/>
        <w:ind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本细则所称二次供水设施是指为二次供水设置的泵房、水池（箱）、水泵、阀门、电控装置、消毒设备、压力水容器、供水管道等设施。</w:t>
      </w:r>
    </w:p>
    <w:p w14:paraId="10D92C7B">
      <w:pPr>
        <w:pStyle w:val="30"/>
        <w:spacing w:after="0"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第四条</w:t>
      </w:r>
      <w:r>
        <w:rPr>
          <w:rFonts w:ascii="Nimbus Roman" w:hAnsi="Nimbus Roman" w:eastAsia="仿宋" w:cs="Nimbus Roman"/>
          <w:sz w:val="32"/>
          <w:szCs w:val="32"/>
        </w:rPr>
        <w:t xml:space="preserve">  二次供水管理应当遵循统一规划设计、统一建设标准、统一管理维护的原则。</w:t>
      </w:r>
    </w:p>
    <w:p w14:paraId="768C226D">
      <w:pPr>
        <w:pStyle w:val="30"/>
        <w:spacing w:after="0" w:line="570" w:lineRule="exact"/>
        <w:ind w:left="0"/>
        <w:jc w:val="center"/>
        <w:rPr>
          <w:rFonts w:ascii="Nimbus Roman" w:hAnsi="Nimbus Roman" w:eastAsia="方正黑体_GBK" w:cs="Nimbus Roman"/>
          <w:sz w:val="32"/>
          <w:szCs w:val="32"/>
        </w:rPr>
      </w:pPr>
      <w:r>
        <w:rPr>
          <w:rFonts w:ascii="Nimbus Roman" w:hAnsi="Nimbus Roman" w:eastAsia="方正黑体_GBK" w:cs="Nimbus Roman"/>
          <w:sz w:val="32"/>
          <w:szCs w:val="32"/>
        </w:rPr>
        <w:t>第二章  建设管理</w:t>
      </w:r>
    </w:p>
    <w:p w14:paraId="7911B531">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第五条</w:t>
      </w:r>
      <w:r>
        <w:rPr>
          <w:rFonts w:ascii="Nimbus Roman" w:hAnsi="Nimbus Roman" w:eastAsia="仿宋" w:cs="Nimbus Roman"/>
          <w:sz w:val="32"/>
          <w:szCs w:val="32"/>
        </w:rPr>
        <w:t xml:space="preserve">  新建、改建、扩建的工程项目用水水压、水量要求超过供水管网的供水能力时，应当配套建设二次供水设施；配套建设的二次供水设施应当与主体工程同时设计、同时施工、同时交付使用。</w:t>
      </w:r>
    </w:p>
    <w:p w14:paraId="376113E9">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第六条</w:t>
      </w:r>
      <w:r>
        <w:rPr>
          <w:rFonts w:ascii="Nimbus Roman" w:hAnsi="Nimbus Roman" w:eastAsia="仿宋" w:cs="Nimbus Roman"/>
          <w:sz w:val="32"/>
          <w:szCs w:val="32"/>
        </w:rPr>
        <w:t xml:space="preserve">  二次供水设施的设计和施工，应当符合有关建设标准和工程技术规范，符合卫生和安全防范标准，其设计方案应当邀请供水企业参与技术审查。</w:t>
      </w:r>
    </w:p>
    <w:p w14:paraId="224595E8">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第七条</w:t>
      </w:r>
      <w:r>
        <w:rPr>
          <w:rFonts w:ascii="Nimbus Roman" w:hAnsi="Nimbus Roman" w:eastAsia="仿宋" w:cs="Nimbus Roman"/>
          <w:sz w:val="32"/>
          <w:szCs w:val="32"/>
        </w:rPr>
        <w:t xml:space="preserve">  鼓励二次供水设施新技术、新设备、新工艺的研发、推广和应用，逐步淘汰不符合国家标准的二次供水设施，保证用水安全。</w:t>
      </w:r>
    </w:p>
    <w:p w14:paraId="6294AAF6">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第八条</w:t>
      </w:r>
      <w:r>
        <w:rPr>
          <w:rFonts w:ascii="Nimbus Roman" w:hAnsi="Nimbus Roman" w:eastAsia="仿宋" w:cs="Nimbus Roman"/>
          <w:sz w:val="32"/>
          <w:szCs w:val="32"/>
        </w:rPr>
        <w:t xml:space="preserve">  城市供水主管部门和卫生健康、公安等部门应当对二次供水设施建设进行监督，督促建设单位严格执行相关标准规范，落实技术、卫生和安全防范等要求，确保工程建设质量。</w:t>
      </w:r>
    </w:p>
    <w:p w14:paraId="7C6F9CB8">
      <w:pPr>
        <w:pStyle w:val="30"/>
        <w:spacing w:after="0" w:line="570" w:lineRule="exact"/>
        <w:ind w:left="0"/>
        <w:jc w:val="center"/>
        <w:rPr>
          <w:rFonts w:ascii="Nimbus Roman" w:hAnsi="Nimbus Roman" w:eastAsia="方正黑体_GBK" w:cs="Nimbus Roman"/>
          <w:sz w:val="32"/>
          <w:szCs w:val="32"/>
        </w:rPr>
      </w:pPr>
      <w:r>
        <w:rPr>
          <w:rFonts w:ascii="Nimbus Roman" w:hAnsi="Nimbus Roman" w:eastAsia="方正黑体_GBK" w:cs="Nimbus Roman"/>
          <w:sz w:val="32"/>
          <w:szCs w:val="32"/>
        </w:rPr>
        <w:t>第三章  运行维护管理</w:t>
      </w:r>
    </w:p>
    <w:p w14:paraId="60DC3AA0">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 xml:space="preserve">第九条 </w:t>
      </w:r>
      <w:r>
        <w:rPr>
          <w:rFonts w:ascii="Nimbus Roman" w:hAnsi="Nimbus Roman" w:eastAsia="仿宋" w:cs="Nimbus Roman"/>
          <w:sz w:val="32"/>
          <w:szCs w:val="32"/>
        </w:rPr>
        <w:t xml:space="preserve"> 二次供水设施移交给供水企业的，由供水企业负责二次供水设施运行维护管理。</w:t>
      </w:r>
    </w:p>
    <w:p w14:paraId="7BC1E8A8">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二次供水设施未移交给供水企业的，由产权人负责运行维护管理；二次供水设施产权人不具备运行维护能力的，应当依法委托供水企业或其他专业机构运行维护管理。</w:t>
      </w:r>
    </w:p>
    <w:p w14:paraId="590781BF">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前两款所规定的二次供水设施运行维护管理企业、个人统称为二次供水运行维护单位。</w:t>
      </w:r>
    </w:p>
    <w:p w14:paraId="10095B06">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第十条</w:t>
      </w:r>
      <w:r>
        <w:rPr>
          <w:rFonts w:ascii="Nimbus Roman" w:hAnsi="Nimbus Roman" w:eastAsia="仿宋" w:cs="Nimbus Roman"/>
          <w:sz w:val="32"/>
          <w:szCs w:val="32"/>
        </w:rPr>
        <w:t xml:space="preserve">  二次供水设施委托管理的，应当签订二次供水服务协议，明确维护交接条件、维护界限、服务维护标准、运行维护费用等内容。协议示范文本由城市供水主管部门会同市场监督管理部门制定。</w:t>
      </w:r>
    </w:p>
    <w:p w14:paraId="51F5B877">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第十一条</w:t>
      </w:r>
      <w:r>
        <w:rPr>
          <w:rFonts w:ascii="Nimbus Roman" w:hAnsi="Nimbus Roman" w:eastAsia="仿宋" w:cs="Nimbus Roman"/>
          <w:sz w:val="32"/>
          <w:szCs w:val="32"/>
        </w:rPr>
        <w:t xml:space="preserve">  二次供水设施由供水企业直接负责运行管理的，运行维护费用开支应当计入供水企业运营成本。</w:t>
      </w:r>
    </w:p>
    <w:p w14:paraId="5AB28B6A">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方正黑体_GBK" w:cs="Nimbus Roman"/>
          <w:sz w:val="32"/>
          <w:szCs w:val="32"/>
        </w:rPr>
        <w:t>第十二条</w:t>
      </w:r>
      <w:r>
        <w:rPr>
          <w:rFonts w:ascii="Nimbus Roman" w:hAnsi="Nimbus Roman" w:eastAsia="仿宋" w:cs="Nimbus Roman"/>
          <w:sz w:val="32"/>
          <w:szCs w:val="32"/>
        </w:rPr>
        <w:t xml:space="preserve">  一般规定</w:t>
      </w:r>
      <w:r>
        <w:rPr>
          <w:rFonts w:hint="eastAsia" w:ascii="Nimbus Roman" w:hAnsi="Nimbus Roman" w:eastAsia="仿宋" w:cs="Nimbus Roman"/>
          <w:sz w:val="32"/>
          <w:szCs w:val="32"/>
        </w:rPr>
        <w:t>：</w:t>
      </w:r>
    </w:p>
    <w:p w14:paraId="0E9B47B7">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（一）二次供水运行维护单位应配置充足的管理、技术人员。</w:t>
      </w:r>
    </w:p>
    <w:p w14:paraId="761AE1AA">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（二）二次供水运行维护单位应制定合理的值班制度，保证24</w:t>
      </w:r>
      <w:r>
        <w:rPr>
          <w:rFonts w:hint="eastAsia" w:ascii="Nimbus Roman" w:hAnsi="Nimbus Roman" w:eastAsia="仿宋" w:cs="Nimbus Roman"/>
          <w:sz w:val="32"/>
          <w:szCs w:val="32"/>
        </w:rPr>
        <w:t>小时</w:t>
      </w:r>
      <w:r>
        <w:rPr>
          <w:rFonts w:ascii="Nimbus Roman" w:hAnsi="Nimbus Roman" w:eastAsia="仿宋" w:cs="Nimbus Roman"/>
          <w:sz w:val="32"/>
          <w:szCs w:val="32"/>
        </w:rPr>
        <w:t>服务响应。</w:t>
      </w:r>
    </w:p>
    <w:p w14:paraId="00501AB7">
      <w:pPr>
        <w:pStyle w:val="30"/>
        <w:spacing w:line="570" w:lineRule="exact"/>
        <w:ind w:left="-14"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（三）二次供水运行维护单位应制定二次供水管理制度、安全操作规程、五病调离制度，且挂于墙上醒目位置。</w:t>
      </w:r>
    </w:p>
    <w:p w14:paraId="1C1D9DF2">
      <w:pPr>
        <w:pStyle w:val="30"/>
        <w:spacing w:line="570" w:lineRule="exact"/>
        <w:ind w:left="-14"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（四）二次供水运行维护单位应建立健全各项报表制度，包括设备运行、水质、维修、服务等内容。</w:t>
      </w:r>
    </w:p>
    <w:p w14:paraId="374120FC">
      <w:pPr>
        <w:pStyle w:val="30"/>
        <w:spacing w:line="570" w:lineRule="exact"/>
        <w:ind w:left="-14"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（五）运行维护人员应具备相应的专业技能，熟悉二次供水设施的技术性能和运行要求，经培训合格后上岗，并应持有电工操作证及健康证明。</w:t>
      </w:r>
    </w:p>
    <w:p w14:paraId="589B4421">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（六）运行维护人员必须严格按照操作规程进行操作，对设备的运行情况及相关仪表、阀门应按制度规定进行定期</w:t>
      </w:r>
      <w:r>
        <w:rPr>
          <w:rFonts w:hint="eastAsia" w:ascii="Nimbus Roman" w:hAnsi="Nimbus Roman" w:eastAsia="仿宋" w:cs="Nimbus Roman"/>
          <w:sz w:val="32"/>
          <w:szCs w:val="32"/>
        </w:rPr>
        <w:t>巡检和维护保养</w:t>
      </w:r>
      <w:r>
        <w:rPr>
          <w:rFonts w:ascii="Nimbus Roman" w:hAnsi="Nimbus Roman" w:eastAsia="仿宋" w:cs="Nimbus Roman"/>
          <w:sz w:val="32"/>
          <w:szCs w:val="32"/>
        </w:rPr>
        <w:t>，并做好运行和维修记录。记录内容包括</w:t>
      </w:r>
      <w:r>
        <w:rPr>
          <w:rFonts w:hint="eastAsia" w:ascii="Nimbus Roman" w:hAnsi="Nimbus Roman" w:eastAsia="仿宋" w:cs="Nimbus Roman"/>
          <w:sz w:val="32"/>
          <w:szCs w:val="32"/>
        </w:rPr>
        <w:t>巡检</w:t>
      </w:r>
      <w:r>
        <w:rPr>
          <w:rFonts w:ascii="Nimbus Roman" w:hAnsi="Nimbus Roman" w:eastAsia="仿宋" w:cs="Nimbus Roman"/>
          <w:sz w:val="32"/>
          <w:szCs w:val="32"/>
        </w:rPr>
        <w:t>记录、设备运行记录、设备维护保养记录、管道维护维修记录、故障或事故处理记录。</w:t>
      </w:r>
    </w:p>
    <w:p w14:paraId="579184FF">
      <w:pPr>
        <w:pStyle w:val="30"/>
        <w:spacing w:line="570" w:lineRule="exact"/>
        <w:ind w:left="-14"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（七）运行维护人员不得随意更改已设定的运行控制参数。</w:t>
      </w:r>
    </w:p>
    <w:p w14:paraId="04A810C5">
      <w:pPr>
        <w:pStyle w:val="30"/>
        <w:spacing w:line="570" w:lineRule="exact"/>
        <w:ind w:left="-14"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（八）维修二次供水设施前如需停水应提前24</w:t>
      </w:r>
      <w:r>
        <w:rPr>
          <w:rFonts w:hint="eastAsia" w:ascii="Nimbus Roman" w:hAnsi="Nimbus Roman" w:eastAsia="仿宋" w:cs="Nimbus Roman"/>
          <w:sz w:val="32"/>
          <w:szCs w:val="32"/>
        </w:rPr>
        <w:t>小时</w:t>
      </w:r>
      <w:r>
        <w:rPr>
          <w:rFonts w:ascii="Nimbus Roman" w:hAnsi="Nimbus Roman" w:eastAsia="仿宋" w:cs="Nimbus Roman"/>
          <w:sz w:val="32"/>
          <w:szCs w:val="32"/>
        </w:rPr>
        <w:t>告知客户。</w:t>
      </w:r>
    </w:p>
    <w:p w14:paraId="3E97F8C8">
      <w:pPr>
        <w:pStyle w:val="30"/>
        <w:spacing w:line="570" w:lineRule="exact"/>
        <w:ind w:left="-14"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（九）泵房内应整洁，严禁存放易燃、易爆、易腐蚀及可能造成环境污染的物品。泵房应保持清洁、通风，确保设备运行环境处于符合规定的湿度和温度范围。</w:t>
      </w:r>
    </w:p>
    <w:p w14:paraId="2A051915">
      <w:pPr>
        <w:pStyle w:val="30"/>
        <w:spacing w:line="570" w:lineRule="exact"/>
        <w:ind w:left="0" w:firstLine="640" w:firstLineChars="200"/>
        <w:jc w:val="both"/>
        <w:rPr>
          <w:rFonts w:ascii="Nimbus Roman" w:hAnsi="Nimbus Roman" w:eastAsia="仿宋" w:cs="Nimbus Roman"/>
          <w:sz w:val="32"/>
          <w:szCs w:val="32"/>
        </w:rPr>
      </w:pPr>
      <w:r>
        <w:rPr>
          <w:rFonts w:hint="eastAsia" w:ascii="方正黑体_GBK" w:hAnsi="方正黑体_GBK" w:eastAsia="方正黑体_GBK" w:cs="方正黑体_GBK"/>
          <w:sz w:val="32"/>
          <w:szCs w:val="32"/>
        </w:rPr>
        <w:t>第十三条</w:t>
      </w:r>
      <w:r>
        <w:rPr>
          <w:rFonts w:hint="eastAsia" w:ascii="Nimbus Roman" w:hAnsi="Nimbus Roman" w:eastAsia="仿宋" w:cs="Nimbus Roman"/>
          <w:sz w:val="32"/>
          <w:szCs w:val="32"/>
        </w:rPr>
        <w:t xml:space="preserve">  </w:t>
      </w:r>
      <w:r>
        <w:rPr>
          <w:rFonts w:ascii="Nimbus Roman" w:hAnsi="Nimbus Roman" w:eastAsia="仿宋" w:cs="Nimbus Roman"/>
          <w:sz w:val="32"/>
          <w:szCs w:val="32"/>
        </w:rPr>
        <w:t>安全管理</w:t>
      </w:r>
      <w:r>
        <w:rPr>
          <w:rFonts w:hint="eastAsia" w:ascii="Nimbus Roman" w:hAnsi="Nimbus Roman" w:eastAsia="仿宋" w:cs="Nimbus Roman"/>
          <w:sz w:val="32"/>
          <w:szCs w:val="32"/>
        </w:rPr>
        <w:t>：</w:t>
      </w:r>
    </w:p>
    <w:p w14:paraId="209FF1C7">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（一）</w:t>
      </w:r>
      <w:r>
        <w:rPr>
          <w:rFonts w:ascii="Nimbus Roman" w:hAnsi="Nimbus Roman" w:eastAsia="仿宋" w:cs="Nimbus Roman"/>
          <w:sz w:val="32"/>
          <w:szCs w:val="32"/>
        </w:rPr>
        <w:t xml:space="preserve">二次供水运行维护单位应采取安全防范措施，加强对泵房、水箱（池）等二次供水设施重要部位的安全管理。 </w:t>
      </w:r>
    </w:p>
    <w:p w14:paraId="330B2D25">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（二）</w:t>
      </w:r>
      <w:r>
        <w:rPr>
          <w:rFonts w:ascii="Nimbus Roman" w:hAnsi="Nimbus Roman" w:eastAsia="仿宋" w:cs="Nimbus Roman"/>
          <w:sz w:val="32"/>
          <w:szCs w:val="32"/>
        </w:rPr>
        <w:t>运行维护人员应定期巡检设施运行及室外埋地管网，严禁在泵房、水箱（池）周围堆放杂物，不得在管线上压、埋、围、占，及时制止和消除影响供水安全的因素。</w:t>
      </w:r>
    </w:p>
    <w:p w14:paraId="4ECFB3B7">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（三）</w:t>
      </w:r>
      <w:r>
        <w:rPr>
          <w:rFonts w:ascii="Nimbus Roman" w:hAnsi="Nimbus Roman" w:eastAsia="仿宋" w:cs="Nimbus Roman"/>
          <w:sz w:val="32"/>
          <w:szCs w:val="32"/>
        </w:rPr>
        <w:t>运行维护人员应定期检查泵房内的排水设施、水箱（池）的液位控制系统、消毒设施、各类仪表、阀门、管道等，以保证各种设施运行正常，无漏水、渗水。</w:t>
      </w:r>
    </w:p>
    <w:p w14:paraId="112E5411">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（四）</w:t>
      </w:r>
      <w:r>
        <w:rPr>
          <w:rFonts w:ascii="Nimbus Roman" w:hAnsi="Nimbus Roman" w:eastAsia="仿宋" w:cs="Nimbus Roman"/>
          <w:sz w:val="32"/>
          <w:szCs w:val="32"/>
        </w:rPr>
        <w:t>运行维护人员应定期分析供水情况，经常进行二次供水设备安全检查，及时排除影响供水安全的各种故障隐患。</w:t>
      </w:r>
    </w:p>
    <w:p w14:paraId="395BC8D3">
      <w:pPr>
        <w:pStyle w:val="30"/>
        <w:spacing w:line="570" w:lineRule="exact"/>
        <w:ind w:left="0" w:firstLine="640" w:firstLineChars="200"/>
        <w:jc w:val="both"/>
        <w:rPr>
          <w:rFonts w:ascii="Nimbus Roman" w:hAnsi="Nimbus Roman" w:eastAsia="仿宋" w:cs="Nimbus Roman"/>
          <w:sz w:val="32"/>
          <w:szCs w:val="32"/>
        </w:rPr>
      </w:pPr>
      <w:r>
        <w:rPr>
          <w:rFonts w:hint="eastAsia" w:ascii="方正黑体_GBK" w:hAnsi="方正黑体_GBK" w:eastAsia="方正黑体_GBK" w:cs="方正黑体_GBK"/>
          <w:sz w:val="32"/>
          <w:szCs w:val="32"/>
        </w:rPr>
        <w:t>第十四条</w:t>
      </w:r>
      <w:r>
        <w:rPr>
          <w:rFonts w:hint="eastAsia" w:ascii="Nimbus Roman" w:hAnsi="Nimbus Roman" w:eastAsia="仿宋" w:cs="Nimbus Roman"/>
          <w:sz w:val="32"/>
          <w:szCs w:val="32"/>
        </w:rPr>
        <w:t xml:space="preserve">  </w:t>
      </w:r>
      <w:r>
        <w:rPr>
          <w:rFonts w:ascii="Nimbus Roman" w:hAnsi="Nimbus Roman" w:eastAsia="仿宋" w:cs="Nimbus Roman"/>
          <w:sz w:val="32"/>
          <w:szCs w:val="32"/>
        </w:rPr>
        <w:t>水质管理</w:t>
      </w:r>
      <w:r>
        <w:rPr>
          <w:rFonts w:hint="eastAsia" w:ascii="Nimbus Roman" w:hAnsi="Nimbus Roman" w:eastAsia="仿宋" w:cs="Nimbus Roman"/>
          <w:sz w:val="32"/>
          <w:szCs w:val="32"/>
        </w:rPr>
        <w:t>：</w:t>
      </w:r>
    </w:p>
    <w:p w14:paraId="1134066B">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（一）</w:t>
      </w:r>
      <w:r>
        <w:rPr>
          <w:rFonts w:ascii="Nimbus Roman" w:hAnsi="Nimbus Roman" w:eastAsia="仿宋" w:cs="Nimbus Roman"/>
          <w:sz w:val="32"/>
          <w:szCs w:val="32"/>
        </w:rPr>
        <w:t>二次供水运行维护单位应当保证二次供水水质应符合《生活饮用水卫生标准》（GB5749）《二次供水设施卫生规范》（GB17051）的规定。</w:t>
      </w:r>
    </w:p>
    <w:p w14:paraId="13E70074">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（二）</w:t>
      </w:r>
      <w:r>
        <w:rPr>
          <w:rFonts w:ascii="Nimbus Roman" w:hAnsi="Nimbus Roman" w:eastAsia="仿宋" w:cs="Nimbus Roman"/>
          <w:sz w:val="32"/>
          <w:szCs w:val="32"/>
        </w:rPr>
        <w:t>二次供水运行维护单位应对水箱（池）定期进行清洗消毒，并于清洗消毒三日前在供水区域内发布公告。</w:t>
      </w:r>
    </w:p>
    <w:p w14:paraId="200923DB">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（三）</w:t>
      </w:r>
      <w:r>
        <w:rPr>
          <w:rFonts w:ascii="Nimbus Roman" w:hAnsi="Nimbus Roman" w:eastAsia="仿宋" w:cs="Nimbus Roman"/>
          <w:sz w:val="32"/>
          <w:szCs w:val="32"/>
        </w:rPr>
        <w:t xml:space="preserve">水箱（池）的清洗消毒应符合下列规定： </w:t>
      </w:r>
    </w:p>
    <w:p w14:paraId="19B14780">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1.</w:t>
      </w:r>
      <w:r>
        <w:rPr>
          <w:rFonts w:ascii="Nimbus Roman" w:hAnsi="Nimbus Roman" w:eastAsia="仿宋" w:cs="Nimbus Roman"/>
          <w:sz w:val="32"/>
          <w:szCs w:val="32"/>
        </w:rPr>
        <w:t xml:space="preserve">水箱（池）必须定期清洗消毒，每半年不得少于一次； </w:t>
      </w:r>
    </w:p>
    <w:p w14:paraId="4110C328">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2.</w:t>
      </w:r>
      <w:r>
        <w:rPr>
          <w:rFonts w:ascii="Nimbus Roman" w:hAnsi="Nimbus Roman" w:eastAsia="仿宋" w:cs="Nimbus Roman"/>
          <w:sz w:val="32"/>
          <w:szCs w:val="32"/>
        </w:rPr>
        <w:t>应根据水箱（池）的材质选择相应的消毒剂，不得采用单纯依靠投放消毒剂的清洗消毒方式；</w:t>
      </w:r>
    </w:p>
    <w:p w14:paraId="3B1B9E36">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3.</w:t>
      </w:r>
      <w:r>
        <w:rPr>
          <w:rFonts w:ascii="Nimbus Roman" w:hAnsi="Nimbus Roman" w:eastAsia="仿宋" w:cs="Nimbus Roman"/>
          <w:sz w:val="32"/>
          <w:szCs w:val="32"/>
        </w:rPr>
        <w:t>水箱（池）清洗消毒后应对水质进行检测，检测结果应符合《生活饮用水卫生标准》（GB 5749）的规定，</w:t>
      </w:r>
      <w:r>
        <w:rPr>
          <w:rFonts w:hint="eastAsia" w:ascii="Nimbus Roman" w:hAnsi="Nimbus Roman" w:eastAsia="仿宋" w:cs="Nimbus Roman"/>
          <w:sz w:val="32"/>
          <w:szCs w:val="32"/>
        </w:rPr>
        <w:t>水质检测项目为《二次供水设施卫生规范》（GB17051）水质指标的必测项目。</w:t>
      </w:r>
    </w:p>
    <w:p w14:paraId="2D915ECD">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4.</w:t>
      </w:r>
      <w:r>
        <w:rPr>
          <w:rFonts w:ascii="Nimbus Roman" w:hAnsi="Nimbus Roman" w:eastAsia="仿宋" w:cs="Nimbus Roman"/>
          <w:sz w:val="32"/>
          <w:szCs w:val="32"/>
        </w:rPr>
        <w:t>水质检测应委托具备法定资质的水质检测机构检验，水质检测取水点宜设在水箱（池）出水口，水质检测记录应存档备案并向用户公布。</w:t>
      </w:r>
    </w:p>
    <w:p w14:paraId="3CEEA881">
      <w:pPr>
        <w:pStyle w:val="30"/>
        <w:spacing w:line="570" w:lineRule="exact"/>
        <w:ind w:left="-14"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（四）</w:t>
      </w:r>
      <w:r>
        <w:rPr>
          <w:rFonts w:ascii="Nimbus Roman" w:hAnsi="Nimbus Roman" w:eastAsia="仿宋" w:cs="Nimbus Roman"/>
          <w:sz w:val="32"/>
          <w:szCs w:val="32"/>
        </w:rPr>
        <w:t>二次供水运行维护单位应当记录每次清洗消毒情况，建立二次供水设施清洗消毒档案。清洗消毒档案应当包括反映清洗消毒前后对比等过程性信息的图片。</w:t>
      </w:r>
    </w:p>
    <w:p w14:paraId="2AC32206">
      <w:pPr>
        <w:pStyle w:val="30"/>
        <w:spacing w:line="570" w:lineRule="exact"/>
        <w:ind w:left="-14"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（五）</w:t>
      </w:r>
      <w:r>
        <w:rPr>
          <w:rFonts w:ascii="Nimbus Roman" w:hAnsi="Nimbus Roman" w:eastAsia="仿宋" w:cs="Nimbus Roman"/>
          <w:sz w:val="32"/>
          <w:szCs w:val="32"/>
        </w:rPr>
        <w:t>二次供水运行维护单位不具备清洗消毒能力的，应委托专业清洗消毒服务单位进行。</w:t>
      </w:r>
    </w:p>
    <w:p w14:paraId="1AFD0CC2">
      <w:pPr>
        <w:pStyle w:val="30"/>
        <w:spacing w:line="570" w:lineRule="exact"/>
        <w:ind w:left="0" w:firstLine="640" w:firstLineChars="200"/>
        <w:jc w:val="both"/>
        <w:rPr>
          <w:rFonts w:ascii="Nimbus Roman" w:hAnsi="Nimbus Roman" w:eastAsia="仿宋" w:cs="Nimbus Roman"/>
          <w:sz w:val="32"/>
          <w:szCs w:val="32"/>
        </w:rPr>
      </w:pPr>
      <w:r>
        <w:rPr>
          <w:rFonts w:hint="eastAsia" w:ascii="方正黑体_GBK" w:hAnsi="方正黑体_GBK" w:eastAsia="方正黑体_GBK" w:cs="方正黑体_GBK"/>
          <w:sz w:val="32"/>
          <w:szCs w:val="32"/>
        </w:rPr>
        <w:t>第十五条</w:t>
      </w:r>
      <w:r>
        <w:rPr>
          <w:rFonts w:hint="eastAsia" w:ascii="Nimbus Roman" w:hAnsi="Nimbus Roman" w:eastAsia="仿宋" w:cs="Nimbus Roman"/>
          <w:sz w:val="32"/>
          <w:szCs w:val="32"/>
        </w:rPr>
        <w:t xml:space="preserve">  </w:t>
      </w:r>
      <w:r>
        <w:rPr>
          <w:rFonts w:ascii="Nimbus Roman" w:hAnsi="Nimbus Roman" w:eastAsia="仿宋" w:cs="Nimbus Roman"/>
          <w:sz w:val="32"/>
          <w:szCs w:val="32"/>
        </w:rPr>
        <w:t>应急管理</w:t>
      </w:r>
      <w:r>
        <w:rPr>
          <w:rFonts w:hint="eastAsia" w:ascii="Nimbus Roman" w:hAnsi="Nimbus Roman" w:eastAsia="仿宋" w:cs="Nimbus Roman"/>
          <w:sz w:val="32"/>
          <w:szCs w:val="32"/>
        </w:rPr>
        <w:t>：</w:t>
      </w:r>
    </w:p>
    <w:p w14:paraId="78DF3A60">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（一）</w:t>
      </w:r>
      <w:r>
        <w:rPr>
          <w:rFonts w:ascii="Nimbus Roman" w:hAnsi="Nimbus Roman" w:eastAsia="仿宋" w:cs="Nimbus Roman"/>
          <w:sz w:val="32"/>
          <w:szCs w:val="32"/>
        </w:rPr>
        <w:t xml:space="preserve">二次供水运行维护单位应结合本单位二次供水设施特点，制定二次供水应急预案，建立健全重大事项报告制度，并定期进行演练。 </w:t>
      </w:r>
    </w:p>
    <w:p w14:paraId="26CF7527">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（二）</w:t>
      </w:r>
      <w:r>
        <w:rPr>
          <w:rFonts w:ascii="Nimbus Roman" w:hAnsi="Nimbus Roman" w:eastAsia="仿宋" w:cs="Nimbus Roman"/>
          <w:sz w:val="32"/>
          <w:szCs w:val="32"/>
        </w:rPr>
        <w:t xml:space="preserve">遇到水质污染、市政管网水量供给不足、发生自然灾害、泵房淹没、机电设备重大故障、供电系统出现故障、恐怖袭击等影响正常供水服务的突发性事件，二次供水服务单位应按二次供水应急预案要求采取相应措施提供服务。 </w:t>
      </w:r>
    </w:p>
    <w:p w14:paraId="7FCE31CE">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（三）</w:t>
      </w:r>
      <w:r>
        <w:rPr>
          <w:rFonts w:ascii="Nimbus Roman" w:hAnsi="Nimbus Roman" w:eastAsia="仿宋" w:cs="Nimbus Roman"/>
          <w:sz w:val="32"/>
          <w:szCs w:val="32"/>
        </w:rPr>
        <w:t>发生突发事故时，二次供水服务单位应在组织抢修的同时上报上级部门并告知客户。停水超过 24h时，宜采取临时措施向居民供水。</w:t>
      </w:r>
    </w:p>
    <w:p w14:paraId="2459A778">
      <w:pPr>
        <w:pStyle w:val="30"/>
        <w:spacing w:line="570" w:lineRule="exact"/>
        <w:ind w:left="0" w:firstLine="640" w:firstLineChars="200"/>
        <w:jc w:val="both"/>
        <w:rPr>
          <w:rFonts w:ascii="Nimbus Roman" w:hAnsi="Nimbus Roman" w:eastAsia="仿宋" w:cs="Nimbus Roman"/>
          <w:sz w:val="32"/>
          <w:szCs w:val="32"/>
        </w:rPr>
      </w:pPr>
      <w:r>
        <w:rPr>
          <w:rFonts w:hint="eastAsia" w:ascii="方正黑体_GBK" w:hAnsi="方正黑体_GBK" w:eastAsia="方正黑体_GBK" w:cs="方正黑体_GBK"/>
          <w:sz w:val="32"/>
          <w:szCs w:val="32"/>
        </w:rPr>
        <w:t>第十六条</w:t>
      </w:r>
      <w:r>
        <w:rPr>
          <w:rFonts w:hint="eastAsia" w:ascii="Nimbus Roman" w:hAnsi="Nimbus Roman" w:eastAsia="仿宋" w:cs="Nimbus Roman"/>
          <w:sz w:val="32"/>
          <w:szCs w:val="32"/>
        </w:rPr>
        <w:t xml:space="preserve">  </w:t>
      </w:r>
      <w:r>
        <w:rPr>
          <w:rFonts w:ascii="Nimbus Roman" w:hAnsi="Nimbus Roman" w:eastAsia="仿宋" w:cs="Nimbus Roman"/>
          <w:sz w:val="32"/>
          <w:szCs w:val="32"/>
        </w:rPr>
        <w:t>二次供水设施已移交供水企业运行维护管理的，房屋产权人或者其委托的物业服务企业应当履行以下职责：</w:t>
      </w:r>
    </w:p>
    <w:p w14:paraId="1E7A7559">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（一）</w:t>
      </w:r>
      <w:r>
        <w:rPr>
          <w:rFonts w:ascii="Nimbus Roman" w:hAnsi="Nimbus Roman" w:eastAsia="仿宋" w:cs="Nimbus Roman"/>
          <w:sz w:val="32"/>
          <w:szCs w:val="32"/>
        </w:rPr>
        <w:t>不得损坏或者擅自占用、移装二次供水设施；</w:t>
      </w:r>
      <w:r>
        <w:rPr>
          <w:rFonts w:hint="eastAsia" w:ascii="Nimbus Roman" w:hAnsi="Nimbus Roman" w:eastAsia="仿宋" w:cs="Nimbus Roman"/>
          <w:sz w:val="32"/>
          <w:szCs w:val="32"/>
        </w:rPr>
        <w:t>不得私自从二次供水泵房取水；</w:t>
      </w:r>
    </w:p>
    <w:p w14:paraId="5AF48723">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（二）</w:t>
      </w:r>
      <w:r>
        <w:rPr>
          <w:rFonts w:ascii="Nimbus Roman" w:hAnsi="Nimbus Roman" w:eastAsia="仿宋" w:cs="Nimbus Roman"/>
          <w:sz w:val="32"/>
          <w:szCs w:val="32"/>
        </w:rPr>
        <w:t>发现二次供水设施发生故障或者其他影响正常使用情况的，立即采取应急处置措施，保障安全，并及时通知供水企业；</w:t>
      </w:r>
      <w:r>
        <w:rPr>
          <w:rFonts w:hint="eastAsia" w:ascii="Nimbus Roman" w:hAnsi="Nimbus Roman" w:eastAsia="仿宋" w:cs="Nimbus Roman"/>
          <w:sz w:val="32"/>
          <w:szCs w:val="32"/>
        </w:rPr>
        <w:t>因物业管理区域内消防、热力、排污等设施故障导致二次供水设施受损的，应承担经济损失；</w:t>
      </w:r>
    </w:p>
    <w:p w14:paraId="71F11F35">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（三）</w:t>
      </w:r>
      <w:r>
        <w:rPr>
          <w:rFonts w:ascii="Nimbus Roman" w:hAnsi="Nimbus Roman" w:eastAsia="仿宋" w:cs="Nimbus Roman"/>
          <w:sz w:val="32"/>
          <w:szCs w:val="32"/>
        </w:rPr>
        <w:t>供水企业因巡查、保养、维修、改造、清洗消毒二次供水设施等需要进入物业管理区域或者使用物业专有部分时，应当予以配合，并不得违规收取费用；</w:t>
      </w:r>
    </w:p>
    <w:p w14:paraId="4A4717C2">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（四）</w:t>
      </w:r>
      <w:r>
        <w:rPr>
          <w:rFonts w:ascii="Nimbus Roman" w:hAnsi="Nimbus Roman" w:eastAsia="仿宋" w:cs="Nimbus Roman"/>
          <w:sz w:val="32"/>
          <w:szCs w:val="32"/>
        </w:rPr>
        <w:t>泵房本体结构发生渗漏或者结构性缺陷的，及时组织维修；</w:t>
      </w:r>
    </w:p>
    <w:p w14:paraId="24674FB6">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（五）</w:t>
      </w:r>
      <w:r>
        <w:rPr>
          <w:rFonts w:ascii="Nimbus Roman" w:hAnsi="Nimbus Roman" w:eastAsia="仿宋" w:cs="Nimbus Roman"/>
          <w:sz w:val="32"/>
          <w:szCs w:val="32"/>
        </w:rPr>
        <w:t>物业管理区域计划性停电或者突发性停电，可能导致二次供水水泵机组停止运行的，及时通知供水企业；</w:t>
      </w:r>
    </w:p>
    <w:p w14:paraId="2A69B19D">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（六）</w:t>
      </w:r>
      <w:r>
        <w:rPr>
          <w:rFonts w:ascii="Nimbus Roman" w:hAnsi="Nimbus Roman" w:eastAsia="仿宋" w:cs="Nimbus Roman"/>
          <w:sz w:val="32"/>
          <w:szCs w:val="32"/>
        </w:rPr>
        <w:t>负责泵房外部的安保及环境卫生清洁；</w:t>
      </w:r>
    </w:p>
    <w:p w14:paraId="33CFAC3A">
      <w:pPr>
        <w:pStyle w:val="30"/>
        <w:spacing w:line="570" w:lineRule="exact"/>
        <w:ind w:left="0" w:firstLine="640" w:firstLineChars="200"/>
        <w:jc w:val="both"/>
        <w:rPr>
          <w:rFonts w:ascii="Nimbus Roman" w:hAnsi="Nimbus Roman" w:eastAsia="仿宋" w:cs="Nimbus Roman"/>
          <w:sz w:val="32"/>
          <w:szCs w:val="32"/>
        </w:rPr>
      </w:pPr>
      <w:r>
        <w:rPr>
          <w:rFonts w:hint="eastAsia" w:ascii="Nimbus Roman" w:hAnsi="Nimbus Roman" w:eastAsia="仿宋" w:cs="Nimbus Roman"/>
          <w:sz w:val="32"/>
          <w:szCs w:val="32"/>
        </w:rPr>
        <w:t>（七）</w:t>
      </w:r>
      <w:r>
        <w:rPr>
          <w:rFonts w:ascii="Nimbus Roman" w:hAnsi="Nimbus Roman" w:eastAsia="仿宋" w:cs="Nimbus Roman"/>
          <w:sz w:val="32"/>
          <w:szCs w:val="32"/>
        </w:rPr>
        <w:t>法律、法规、规章规定的其他职责。</w:t>
      </w:r>
    </w:p>
    <w:p w14:paraId="410EFEE4">
      <w:pPr>
        <w:pStyle w:val="30"/>
        <w:spacing w:line="570" w:lineRule="exact"/>
        <w:ind w:lef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监督管理</w:t>
      </w:r>
    </w:p>
    <w:p w14:paraId="77555827">
      <w:pPr>
        <w:pStyle w:val="30"/>
        <w:spacing w:line="570" w:lineRule="exact"/>
        <w:ind w:left="0" w:firstLine="640" w:firstLineChars="200"/>
        <w:jc w:val="both"/>
        <w:rPr>
          <w:rFonts w:ascii="Nimbus Roman" w:hAnsi="Nimbus Roman" w:eastAsia="仿宋" w:cs="Nimbus Roman"/>
          <w:b/>
          <w:bCs/>
          <w:sz w:val="32"/>
          <w:szCs w:val="32"/>
        </w:rPr>
      </w:pPr>
      <w:r>
        <w:rPr>
          <w:rFonts w:hint="eastAsia" w:ascii="方正黑体_GBK" w:hAnsi="方正黑体_GBK" w:eastAsia="方正黑体_GBK" w:cs="方正黑体_GBK"/>
          <w:sz w:val="32"/>
          <w:szCs w:val="32"/>
        </w:rPr>
        <w:t>第十七条</w:t>
      </w:r>
      <w:r>
        <w:rPr>
          <w:rFonts w:hint="eastAsia" w:ascii="Nimbus Roman" w:hAnsi="Nimbus Roman" w:eastAsia="仿宋" w:cs="Nimbus Roman"/>
          <w:sz w:val="32"/>
          <w:szCs w:val="32"/>
        </w:rPr>
        <w:t xml:space="preserve">  </w:t>
      </w:r>
      <w:r>
        <w:rPr>
          <w:rFonts w:ascii="Nimbus Roman" w:hAnsi="Nimbus Roman" w:eastAsia="仿宋" w:cs="Nimbus Roman"/>
          <w:sz w:val="32"/>
          <w:szCs w:val="32"/>
        </w:rPr>
        <w:t>城市供水主管部门、住建</w:t>
      </w:r>
      <w:r>
        <w:rPr>
          <w:rFonts w:hint="eastAsia" w:ascii="Nimbus Roman" w:hAnsi="Nimbus Roman" w:eastAsia="仿宋" w:cs="Nimbus Roman"/>
          <w:sz w:val="32"/>
          <w:szCs w:val="32"/>
        </w:rPr>
        <w:t>部门</w:t>
      </w:r>
      <w:r>
        <w:rPr>
          <w:rFonts w:ascii="Nimbus Roman" w:hAnsi="Nimbus Roman" w:eastAsia="仿宋" w:cs="Nimbus Roman"/>
          <w:sz w:val="32"/>
          <w:szCs w:val="32"/>
        </w:rPr>
        <w:t>、卫生健康等部门负责本行政区域内二次供水监督管理工作。</w:t>
      </w:r>
    </w:p>
    <w:p w14:paraId="2023BC84">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城市供水主管部门每年应当组织开展二次供水设施现场检查、水质抽查，督促二次供水运行维护单位做好设施运行维护、定期清洗消毒和水质检测。</w:t>
      </w:r>
    </w:p>
    <w:p w14:paraId="1603E09C">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二次供水运行维护单位为物业的，住建部门应监督物业做好二次供水设施的运行维护、定期清洗消毒和水质检测。</w:t>
      </w:r>
    </w:p>
    <w:p w14:paraId="2DCC6D2E">
      <w:pPr>
        <w:pStyle w:val="30"/>
        <w:spacing w:line="570" w:lineRule="exact"/>
        <w:ind w:left="0"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卫生健康部门应当按照国家生活饮用水卫生监督管理的有关规定，对二次供水水质进行卫生监测。</w:t>
      </w:r>
    </w:p>
    <w:p w14:paraId="16855382">
      <w:pPr>
        <w:pStyle w:val="30"/>
        <w:spacing w:after="0" w:line="570" w:lineRule="exact"/>
        <w:ind w:lef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法律责任</w:t>
      </w:r>
    </w:p>
    <w:p w14:paraId="13E154E2">
      <w:pPr>
        <w:pStyle w:val="30"/>
        <w:spacing w:after="0" w:line="570" w:lineRule="exact"/>
        <w:ind w:left="0" w:firstLine="640" w:firstLineChars="200"/>
        <w:jc w:val="both"/>
        <w:rPr>
          <w:rFonts w:ascii="Nimbus Roman" w:hAnsi="Nimbus Roman" w:eastAsia="仿宋" w:cs="Nimbus Roman"/>
          <w:sz w:val="32"/>
          <w:szCs w:val="32"/>
        </w:rPr>
      </w:pPr>
      <w:r>
        <w:rPr>
          <w:rFonts w:hint="eastAsia" w:ascii="方正黑体_GBK" w:hAnsi="方正黑体_GBK" w:eastAsia="方正黑体_GBK" w:cs="方正黑体_GBK"/>
          <w:sz w:val="32"/>
          <w:szCs w:val="32"/>
        </w:rPr>
        <w:t>第十八条</w:t>
      </w:r>
      <w:r>
        <w:rPr>
          <w:rFonts w:hint="eastAsia" w:ascii="Nimbus Roman" w:hAnsi="Nimbus Roman" w:eastAsia="仿宋" w:cs="Nimbus Roman"/>
          <w:sz w:val="32"/>
          <w:szCs w:val="32"/>
        </w:rPr>
        <w:t xml:space="preserve">  </w:t>
      </w:r>
      <w:r>
        <w:rPr>
          <w:rFonts w:ascii="Nimbus Roman" w:hAnsi="Nimbus Roman" w:eastAsia="仿宋" w:cs="Nimbus Roman"/>
          <w:sz w:val="32"/>
          <w:szCs w:val="32"/>
        </w:rPr>
        <w:t>二次供水运行维护单位违反本细则规定的，由城市供水</w:t>
      </w:r>
      <w:r>
        <w:rPr>
          <w:rFonts w:hint="eastAsia" w:ascii="Nimbus Roman" w:hAnsi="Nimbus Roman" w:eastAsia="仿宋" w:cs="Nimbus Roman"/>
          <w:sz w:val="32"/>
          <w:szCs w:val="32"/>
        </w:rPr>
        <w:t>或者卫生健康行政主管</w:t>
      </w:r>
      <w:r>
        <w:rPr>
          <w:rFonts w:ascii="Nimbus Roman" w:hAnsi="Nimbus Roman" w:eastAsia="仿宋" w:cs="Nimbus Roman"/>
          <w:sz w:val="32"/>
          <w:szCs w:val="32"/>
        </w:rPr>
        <w:t>部门按照各自职责，责令限期改正，并处罚款；造成损失的，依法赔偿损失；构成犯罪的，依法追究刑事责任：</w:t>
      </w:r>
    </w:p>
    <w:p w14:paraId="46820D7C">
      <w:pPr>
        <w:spacing w:after="0" w:line="570" w:lineRule="exact"/>
        <w:ind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（一）未定期对各类储水设施清洗消毒的，处以三万元罚款；</w:t>
      </w:r>
    </w:p>
    <w:p w14:paraId="064C2E69">
      <w:pPr>
        <w:spacing w:after="0" w:line="570" w:lineRule="exact"/>
        <w:ind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（二）清洗消毒三日前未在供水区域内发布公告的，处以三千元罚款；</w:t>
      </w:r>
    </w:p>
    <w:p w14:paraId="339D15E3">
      <w:pPr>
        <w:spacing w:after="0" w:line="570" w:lineRule="exact"/>
        <w:ind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（三）未将水质检测情况在显著位置向用户进行公示的，处以五千元以上一万元以下罚款；</w:t>
      </w:r>
    </w:p>
    <w:p w14:paraId="2C5D7198">
      <w:pPr>
        <w:spacing w:after="0" w:line="570" w:lineRule="exact"/>
        <w:ind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（四）从事清洗消毒的工作人员和管理人员，没有经过卫生知识培训的，或者没有取得健康证明上岗的，处以一万元以上三万元以下罚款；情节较重的，处以三万元以上五万元以下罚款；</w:t>
      </w:r>
    </w:p>
    <w:p w14:paraId="17DB9CAD">
      <w:pPr>
        <w:spacing w:after="0" w:line="570" w:lineRule="exact"/>
        <w:ind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（五）水质受到污染没有及时向有关管理部门报告的，处以五千元以上一万元以下罚款；</w:t>
      </w:r>
      <w:bookmarkStart w:id="0" w:name="_GoBack"/>
      <w:bookmarkEnd w:id="0"/>
    </w:p>
    <w:p w14:paraId="5F166520">
      <w:pPr>
        <w:spacing w:after="0" w:line="570" w:lineRule="exact"/>
        <w:ind w:firstLine="640" w:firstLineChars="200"/>
        <w:jc w:val="both"/>
        <w:rPr>
          <w:rFonts w:ascii="Nimbus Roman" w:hAnsi="Nimbus Roman" w:eastAsia="仿宋" w:cs="Nimbus Roman"/>
          <w:sz w:val="32"/>
          <w:szCs w:val="32"/>
        </w:rPr>
      </w:pPr>
      <w:r>
        <w:rPr>
          <w:rFonts w:ascii="Nimbus Roman" w:hAnsi="Nimbus Roman" w:eastAsia="仿宋" w:cs="Nimbus Roman"/>
          <w:sz w:val="32"/>
          <w:szCs w:val="32"/>
        </w:rPr>
        <w:t>（六）水质受到污染没有消除污染或者没有经过检验合格即恢复供水的，处以三万元罚款。</w:t>
      </w:r>
    </w:p>
    <w:p w14:paraId="79325304">
      <w:pPr>
        <w:spacing w:line="570" w:lineRule="exact"/>
        <w:jc w:val="both"/>
        <w:rPr>
          <w:rFonts w:ascii="Nimbus Roman" w:hAnsi="Nimbus Roman" w:eastAsia="仿宋" w:cs="Nimbus Roman"/>
          <w:sz w:val="32"/>
          <w:szCs w:val="32"/>
        </w:rPr>
      </w:pPr>
    </w:p>
    <w:p w14:paraId="2D524457">
      <w:pPr>
        <w:spacing w:line="570" w:lineRule="exact"/>
        <w:jc w:val="both"/>
        <w:rPr>
          <w:rFonts w:ascii="Nimbus Roman" w:hAnsi="Nimbus Roman" w:eastAsia="仿宋" w:cs="Nimbus Roman"/>
          <w:sz w:val="32"/>
          <w:szCs w:val="32"/>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CESI楷体-GB13000">
    <w:panose1 w:val="02000500000000000000"/>
    <w:charset w:val="86"/>
    <w:family w:val="auto"/>
    <w:pitch w:val="default"/>
    <w:sig w:usb0="800002BF" w:usb1="3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方正公文黑体">
    <w:panose1 w:val="02000500000000000000"/>
    <w:charset w:val="86"/>
    <w:family w:val="auto"/>
    <w:pitch w:val="default"/>
    <w:sig w:usb0="A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仿宋_GB2312">
    <w:panose1 w:val="02000000000000000000"/>
    <w:charset w:val="86"/>
    <w:family w:val="auto"/>
    <w:pitch w:val="default"/>
    <w:sig w:usb0="A00002BF" w:usb1="184F6CFA" w:usb2="00000012" w:usb3="00000000" w:csb0="00040001"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大黑体_GBK">
    <w:panose1 w:val="02010600010101010101"/>
    <w:charset w:val="86"/>
    <w:family w:val="auto"/>
    <w:pitch w:val="default"/>
    <w:sig w:usb0="00000001" w:usb1="080E0000" w:usb2="00000000" w:usb3="00000000" w:csb0="40040001" w:csb1="C0D60000"/>
  </w:font>
  <w:font w:name="方正隶书_GBK">
    <w:panose1 w:val="02000000000000000000"/>
    <w:charset w:val="86"/>
    <w:family w:val="auto"/>
    <w:pitch w:val="default"/>
    <w:sig w:usb0="00000001" w:usb1="08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CESI宋体-GB18030">
    <w:panose1 w:val="02000500000000000000"/>
    <w:charset w:val="86"/>
    <w:family w:val="auto"/>
    <w:pitch w:val="default"/>
    <w:sig w:usb0="A00002BF" w:usb1="38C7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8A4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4AD38D">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74AD38D">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00"/>
    <w:rsid w:val="00004507"/>
    <w:rsid w:val="00007DB6"/>
    <w:rsid w:val="00066BA7"/>
    <w:rsid w:val="000D6FD7"/>
    <w:rsid w:val="000E28E5"/>
    <w:rsid w:val="000F1D54"/>
    <w:rsid w:val="00102C1D"/>
    <w:rsid w:val="0011583D"/>
    <w:rsid w:val="00136F70"/>
    <w:rsid w:val="001554D3"/>
    <w:rsid w:val="00174988"/>
    <w:rsid w:val="001903AB"/>
    <w:rsid w:val="001B7F4D"/>
    <w:rsid w:val="001C5D63"/>
    <w:rsid w:val="001D77B0"/>
    <w:rsid w:val="00275C20"/>
    <w:rsid w:val="00275E25"/>
    <w:rsid w:val="00284ECF"/>
    <w:rsid w:val="002A5F1D"/>
    <w:rsid w:val="002E4B84"/>
    <w:rsid w:val="002E72CF"/>
    <w:rsid w:val="00321943"/>
    <w:rsid w:val="00361296"/>
    <w:rsid w:val="00365174"/>
    <w:rsid w:val="003C11EC"/>
    <w:rsid w:val="003C3E88"/>
    <w:rsid w:val="003D4E6F"/>
    <w:rsid w:val="00401008"/>
    <w:rsid w:val="0041186B"/>
    <w:rsid w:val="0042229B"/>
    <w:rsid w:val="004258C9"/>
    <w:rsid w:val="004632FA"/>
    <w:rsid w:val="00475D01"/>
    <w:rsid w:val="0048165E"/>
    <w:rsid w:val="004934EB"/>
    <w:rsid w:val="00493A0F"/>
    <w:rsid w:val="004D095B"/>
    <w:rsid w:val="004D249F"/>
    <w:rsid w:val="004E0593"/>
    <w:rsid w:val="004E73BD"/>
    <w:rsid w:val="004F01EB"/>
    <w:rsid w:val="005078D2"/>
    <w:rsid w:val="00517936"/>
    <w:rsid w:val="00545E63"/>
    <w:rsid w:val="00561F88"/>
    <w:rsid w:val="00577562"/>
    <w:rsid w:val="00587ABC"/>
    <w:rsid w:val="00620636"/>
    <w:rsid w:val="006234A0"/>
    <w:rsid w:val="00623B0A"/>
    <w:rsid w:val="00654181"/>
    <w:rsid w:val="006C058A"/>
    <w:rsid w:val="006F0FC7"/>
    <w:rsid w:val="00700E62"/>
    <w:rsid w:val="00721BCC"/>
    <w:rsid w:val="007A2844"/>
    <w:rsid w:val="007B4726"/>
    <w:rsid w:val="00800B00"/>
    <w:rsid w:val="0082019E"/>
    <w:rsid w:val="00822D41"/>
    <w:rsid w:val="0083050E"/>
    <w:rsid w:val="00831811"/>
    <w:rsid w:val="008467A9"/>
    <w:rsid w:val="00877E0D"/>
    <w:rsid w:val="00887AF0"/>
    <w:rsid w:val="008A6ADA"/>
    <w:rsid w:val="008C4C1C"/>
    <w:rsid w:val="008F6025"/>
    <w:rsid w:val="00956F38"/>
    <w:rsid w:val="00957C5C"/>
    <w:rsid w:val="00984600"/>
    <w:rsid w:val="0098462D"/>
    <w:rsid w:val="009A2E11"/>
    <w:rsid w:val="009B1AE9"/>
    <w:rsid w:val="00A31B5A"/>
    <w:rsid w:val="00AC19A5"/>
    <w:rsid w:val="00AF7284"/>
    <w:rsid w:val="00B20A06"/>
    <w:rsid w:val="00B32678"/>
    <w:rsid w:val="00B33908"/>
    <w:rsid w:val="00B508F9"/>
    <w:rsid w:val="00BB0697"/>
    <w:rsid w:val="00BC1B1A"/>
    <w:rsid w:val="00BC716E"/>
    <w:rsid w:val="00C00866"/>
    <w:rsid w:val="00C33AB7"/>
    <w:rsid w:val="00C3693A"/>
    <w:rsid w:val="00C63D23"/>
    <w:rsid w:val="00C82D20"/>
    <w:rsid w:val="00C9106C"/>
    <w:rsid w:val="00C94F9B"/>
    <w:rsid w:val="00CB4A8D"/>
    <w:rsid w:val="00CF60AC"/>
    <w:rsid w:val="00D1716C"/>
    <w:rsid w:val="00D346D1"/>
    <w:rsid w:val="00D95927"/>
    <w:rsid w:val="00DA4CBE"/>
    <w:rsid w:val="00DB39C5"/>
    <w:rsid w:val="00DC102C"/>
    <w:rsid w:val="00DD0FCB"/>
    <w:rsid w:val="00DF05AB"/>
    <w:rsid w:val="00E16B9B"/>
    <w:rsid w:val="00E5042C"/>
    <w:rsid w:val="00E67A09"/>
    <w:rsid w:val="00E70C3E"/>
    <w:rsid w:val="00E75B52"/>
    <w:rsid w:val="00E9531C"/>
    <w:rsid w:val="00EA51E5"/>
    <w:rsid w:val="00EB2BF5"/>
    <w:rsid w:val="00EC1B0B"/>
    <w:rsid w:val="00EC7E30"/>
    <w:rsid w:val="00F06128"/>
    <w:rsid w:val="00F753A2"/>
    <w:rsid w:val="00F94449"/>
    <w:rsid w:val="00F964AC"/>
    <w:rsid w:val="00FD05A5"/>
    <w:rsid w:val="00FD342B"/>
    <w:rsid w:val="00FD4A64"/>
    <w:rsid w:val="15FF39C5"/>
    <w:rsid w:val="17F5D634"/>
    <w:rsid w:val="1977B62A"/>
    <w:rsid w:val="397D204D"/>
    <w:rsid w:val="3FED8385"/>
    <w:rsid w:val="4FF3B5B2"/>
    <w:rsid w:val="57E59FB0"/>
    <w:rsid w:val="7EFA23E0"/>
    <w:rsid w:val="7FF3BF7E"/>
    <w:rsid w:val="7FFF6BFF"/>
    <w:rsid w:val="7FFFACBC"/>
    <w:rsid w:val="B7FD30C1"/>
    <w:rsid w:val="EAB6BA20"/>
    <w:rsid w:val="F53D4626"/>
    <w:rsid w:val="FDFF396F"/>
    <w:rsid w:val="FEDFF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1698</Words>
  <Characters>1716</Characters>
  <Lines>81</Lines>
  <Paragraphs>72</Paragraphs>
  <TotalTime>8993</TotalTime>
  <ScaleCrop>false</ScaleCrop>
  <LinksUpToDate>false</LinksUpToDate>
  <CharactersWithSpaces>3342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2025-06-20T17:01:00Z</dcterms:created>
  <dc:creator>China</dc:creator>
  <cp:lastModifiedBy>cg</cp:lastModifiedBy>
  <dcterms:modified xsi:type="dcterms:W3CDTF">2026-02-04T15:55:28Z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8483670EC01BD1E7870980694CC293F4_42</vt:lpwstr>
  </property>
</Properties>
</file>