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AF" w:rsidRPr="00973104" w:rsidRDefault="004349DB" w:rsidP="0077313B">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唐山市城市管理局</w:t>
      </w:r>
      <w:r w:rsidR="00054DAF" w:rsidRPr="00973104">
        <w:rPr>
          <w:rFonts w:ascii="Times New Roman" w:eastAsia="方正小标宋_GBK" w:hAnsi="Times New Roman" w:cs="Times New Roman"/>
          <w:sz w:val="44"/>
          <w:szCs w:val="44"/>
        </w:rPr>
        <w:t>2017</w:t>
      </w:r>
      <w:r w:rsidR="00054DAF" w:rsidRPr="00973104">
        <w:rPr>
          <w:rFonts w:ascii="Times New Roman" w:eastAsia="方正小标宋_GBK" w:hAnsi="Times New Roman" w:cs="方正小标宋_GBK" w:hint="eastAsia"/>
          <w:sz w:val="44"/>
          <w:szCs w:val="44"/>
        </w:rPr>
        <w:t>年部门预算信息公开</w:t>
      </w:r>
    </w:p>
    <w:p w:rsidR="00054DAF" w:rsidRPr="004349DB" w:rsidRDefault="00054DAF" w:rsidP="0077313B">
      <w:pPr>
        <w:ind w:firstLineChars="200" w:firstLine="640"/>
        <w:rPr>
          <w:rFonts w:ascii="仿宋" w:eastAsia="仿宋" w:hAnsi="仿宋" w:cs="Times New Roman"/>
          <w:sz w:val="32"/>
          <w:szCs w:val="32"/>
        </w:rPr>
      </w:pPr>
      <w:r w:rsidRPr="004349DB">
        <w:rPr>
          <w:rFonts w:ascii="仿宋" w:eastAsia="仿宋" w:hAnsi="仿宋" w:cs="方正仿宋_GBK" w:hint="eastAsia"/>
          <w:sz w:val="32"/>
          <w:szCs w:val="32"/>
        </w:rPr>
        <w:t>按照《预算法》、《地方预决算公开操作规程》和《河北省省级预算公开办法》规定，现将</w:t>
      </w:r>
      <w:r w:rsidRPr="004349DB">
        <w:rPr>
          <w:rFonts w:ascii="仿宋" w:eastAsia="仿宋" w:hAnsi="仿宋" w:cs="Times New Roman"/>
          <w:sz w:val="32"/>
          <w:szCs w:val="32"/>
        </w:rPr>
        <w:t>2017</w:t>
      </w:r>
      <w:r w:rsidRPr="004349DB">
        <w:rPr>
          <w:rFonts w:ascii="仿宋" w:eastAsia="仿宋" w:hAnsi="仿宋" w:cs="方正仿宋_GBK" w:hint="eastAsia"/>
          <w:sz w:val="32"/>
          <w:szCs w:val="32"/>
        </w:rPr>
        <w:t>年部门预算公开如下：</w:t>
      </w:r>
    </w:p>
    <w:p w:rsidR="00054DAF" w:rsidRPr="004349DB" w:rsidRDefault="00054DAF" w:rsidP="004349DB">
      <w:pPr>
        <w:pStyle w:val="a5"/>
        <w:numPr>
          <w:ilvl w:val="0"/>
          <w:numId w:val="1"/>
        </w:numPr>
        <w:ind w:firstLineChars="0"/>
        <w:rPr>
          <w:rFonts w:ascii="仿宋" w:eastAsia="仿宋" w:hAnsi="仿宋" w:cs="黑体"/>
          <w:sz w:val="32"/>
          <w:szCs w:val="32"/>
        </w:rPr>
      </w:pPr>
      <w:r w:rsidRPr="004349DB">
        <w:rPr>
          <w:rFonts w:ascii="仿宋" w:eastAsia="仿宋" w:hAnsi="仿宋" w:cs="黑体" w:hint="eastAsia"/>
          <w:sz w:val="32"/>
          <w:szCs w:val="32"/>
        </w:rPr>
        <w:t>部门职责及机构设置情况</w:t>
      </w:r>
    </w:p>
    <w:p w:rsidR="004349DB" w:rsidRPr="004349DB" w:rsidRDefault="00054DAF" w:rsidP="004349DB">
      <w:pPr>
        <w:spacing w:line="360" w:lineRule="auto"/>
        <w:ind w:firstLineChars="200" w:firstLine="643"/>
        <w:jc w:val="left"/>
        <w:rPr>
          <w:rFonts w:ascii="仿宋" w:eastAsia="仿宋" w:hAnsi="仿宋"/>
          <w:b/>
          <w:color w:val="000000"/>
          <w:sz w:val="32"/>
          <w:szCs w:val="32"/>
        </w:rPr>
      </w:pPr>
      <w:r w:rsidRPr="004349DB">
        <w:rPr>
          <w:rFonts w:ascii="仿宋" w:eastAsia="仿宋" w:hAnsi="仿宋" w:cs="方正仿宋_GBK" w:hint="eastAsia"/>
          <w:b/>
          <w:bCs/>
          <w:sz w:val="32"/>
          <w:szCs w:val="32"/>
        </w:rPr>
        <w:t>部门职责：</w:t>
      </w:r>
      <w:r w:rsidR="004349DB" w:rsidRPr="004349DB">
        <w:rPr>
          <w:rFonts w:ascii="仿宋" w:eastAsia="仿宋" w:hAnsi="仿宋"/>
          <w:b/>
          <w:color w:val="000000"/>
          <w:sz w:val="32"/>
          <w:szCs w:val="32"/>
        </w:rPr>
        <w:t xml:space="preserve"> </w:t>
      </w:r>
    </w:p>
    <w:p w:rsidR="004349DB" w:rsidRPr="004349DB" w:rsidRDefault="004349DB" w:rsidP="004349DB">
      <w:pPr>
        <w:spacing w:line="360" w:lineRule="auto"/>
        <w:jc w:val="left"/>
        <w:rPr>
          <w:rFonts w:ascii="仿宋" w:eastAsia="仿宋" w:hAnsi="仿宋"/>
          <w:color w:val="000000"/>
          <w:sz w:val="32"/>
          <w:szCs w:val="32"/>
        </w:rPr>
      </w:pPr>
      <w:r w:rsidRPr="004349DB">
        <w:rPr>
          <w:rFonts w:ascii="仿宋" w:eastAsia="仿宋" w:hAnsi="仿宋" w:hint="eastAsia"/>
          <w:color w:val="000000"/>
          <w:sz w:val="32"/>
          <w:szCs w:val="32"/>
        </w:rPr>
        <w:t xml:space="preserve">    </w:t>
      </w:r>
      <w:r w:rsidRPr="004349DB">
        <w:rPr>
          <w:rFonts w:ascii="仿宋" w:eastAsia="仿宋" w:hAnsi="仿宋"/>
          <w:color w:val="000000"/>
          <w:sz w:val="32"/>
          <w:szCs w:val="32"/>
        </w:rPr>
        <w:t>根据《唐山市城市管理局职能配置、内设机构和人员编制方案》规定，唐山市城市管理局的主要职责是：</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81" w:firstLine="579"/>
        <w:rPr>
          <w:rFonts w:ascii="仿宋" w:eastAsia="仿宋" w:hAnsi="仿宋"/>
          <w:sz w:val="32"/>
          <w:szCs w:val="32"/>
        </w:rPr>
      </w:pPr>
      <w:r w:rsidRPr="004349DB">
        <w:rPr>
          <w:rFonts w:ascii="仿宋" w:eastAsia="仿宋" w:hAnsi="仿宋"/>
          <w:sz w:val="32"/>
          <w:szCs w:val="32"/>
        </w:rPr>
        <w:t>1、贯彻执行国家、省、市城市管理的方针、政策、法令、法规，拟定</w:t>
      </w:r>
      <w:r w:rsidRPr="004349DB">
        <w:rPr>
          <w:rFonts w:ascii="仿宋" w:eastAsia="仿宋" w:hAnsi="仿宋" w:hint="eastAsia"/>
          <w:sz w:val="32"/>
          <w:szCs w:val="32"/>
        </w:rPr>
        <w:t>全市</w:t>
      </w:r>
      <w:r w:rsidRPr="004349DB">
        <w:rPr>
          <w:rFonts w:ascii="仿宋" w:eastAsia="仿宋" w:hAnsi="仿宋"/>
          <w:sz w:val="32"/>
          <w:szCs w:val="32"/>
        </w:rPr>
        <w:t>城市管理</w:t>
      </w:r>
      <w:r w:rsidRPr="004349DB">
        <w:rPr>
          <w:rFonts w:ascii="仿宋" w:eastAsia="仿宋" w:hAnsi="仿宋" w:hint="eastAsia"/>
          <w:sz w:val="32"/>
          <w:szCs w:val="32"/>
        </w:rPr>
        <w:t>工作发展战略、中长期规划和年度计划，起草全市城市管理工作的地方性</w:t>
      </w:r>
      <w:r w:rsidRPr="004349DB">
        <w:rPr>
          <w:rFonts w:ascii="仿宋" w:eastAsia="仿宋" w:hAnsi="仿宋"/>
          <w:sz w:val="32"/>
          <w:szCs w:val="32"/>
        </w:rPr>
        <w:t>法规</w:t>
      </w:r>
      <w:r w:rsidRPr="004349DB">
        <w:rPr>
          <w:rFonts w:ascii="仿宋" w:eastAsia="仿宋" w:hAnsi="仿宋" w:hint="eastAsia"/>
          <w:sz w:val="32"/>
          <w:szCs w:val="32"/>
        </w:rPr>
        <w:t>和</w:t>
      </w:r>
      <w:r w:rsidRPr="004349DB">
        <w:rPr>
          <w:rFonts w:ascii="仿宋" w:eastAsia="仿宋" w:hAnsi="仿宋"/>
          <w:sz w:val="32"/>
          <w:szCs w:val="32"/>
        </w:rPr>
        <w:t>规章</w:t>
      </w:r>
      <w:r w:rsidRPr="004349DB">
        <w:rPr>
          <w:rFonts w:ascii="仿宋" w:eastAsia="仿宋" w:hAnsi="仿宋" w:hint="eastAsia"/>
          <w:sz w:val="32"/>
          <w:szCs w:val="32"/>
        </w:rPr>
        <w:t>，并根据市政府的授权组织实施</w:t>
      </w:r>
      <w:r w:rsidRPr="004349DB">
        <w:rPr>
          <w:rFonts w:ascii="仿宋" w:eastAsia="仿宋" w:hAnsi="仿宋"/>
          <w:sz w:val="32"/>
          <w:szCs w:val="32"/>
        </w:rPr>
        <w:t>。</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eastAsia="仿宋" w:hAnsi="仿宋"/>
          <w:sz w:val="32"/>
          <w:szCs w:val="32"/>
        </w:rPr>
      </w:pPr>
      <w:r w:rsidRPr="004349DB">
        <w:rPr>
          <w:rFonts w:ascii="仿宋" w:eastAsia="仿宋" w:hAnsi="仿宋"/>
          <w:sz w:val="32"/>
          <w:szCs w:val="32"/>
        </w:rPr>
        <w:t xml:space="preserve">    2、参与城市总体规划，</w:t>
      </w:r>
      <w:r w:rsidRPr="004349DB">
        <w:rPr>
          <w:rFonts w:ascii="仿宋" w:eastAsia="仿宋" w:hAnsi="仿宋" w:hint="eastAsia"/>
          <w:sz w:val="32"/>
          <w:szCs w:val="32"/>
        </w:rPr>
        <w:t>专项建设规划的编制，负责</w:t>
      </w:r>
      <w:r w:rsidRPr="004349DB">
        <w:rPr>
          <w:rFonts w:ascii="仿宋" w:eastAsia="仿宋" w:hAnsi="仿宋"/>
          <w:sz w:val="32"/>
          <w:szCs w:val="32"/>
        </w:rPr>
        <w:t>制定</w:t>
      </w:r>
      <w:r w:rsidRPr="004349DB">
        <w:rPr>
          <w:rFonts w:ascii="仿宋" w:eastAsia="仿宋" w:hAnsi="仿宋" w:hint="eastAsia"/>
          <w:sz w:val="32"/>
          <w:szCs w:val="32"/>
        </w:rPr>
        <w:t>市政、</w:t>
      </w:r>
      <w:r w:rsidRPr="004349DB">
        <w:rPr>
          <w:rFonts w:ascii="仿宋" w:eastAsia="仿宋" w:hAnsi="仿宋"/>
          <w:sz w:val="32"/>
          <w:szCs w:val="32"/>
        </w:rPr>
        <w:t>环卫、园林绿化、</w:t>
      </w:r>
      <w:r w:rsidRPr="004349DB">
        <w:rPr>
          <w:rFonts w:ascii="仿宋" w:eastAsia="仿宋" w:hAnsi="仿宋" w:hint="eastAsia"/>
          <w:sz w:val="32"/>
          <w:szCs w:val="32"/>
        </w:rPr>
        <w:t>城市供水、排水、再生水、</w:t>
      </w:r>
      <w:r w:rsidRPr="004349DB">
        <w:rPr>
          <w:rFonts w:ascii="仿宋" w:eastAsia="仿宋" w:hAnsi="仿宋"/>
          <w:sz w:val="32"/>
          <w:szCs w:val="32"/>
        </w:rPr>
        <w:t>环境美化</w:t>
      </w:r>
      <w:r w:rsidRPr="004349DB">
        <w:rPr>
          <w:rFonts w:ascii="仿宋" w:eastAsia="仿宋" w:hAnsi="仿宋" w:hint="eastAsia"/>
          <w:sz w:val="32"/>
          <w:szCs w:val="32"/>
        </w:rPr>
        <w:t>、夜景亮化</w:t>
      </w:r>
      <w:r w:rsidRPr="004349DB">
        <w:rPr>
          <w:rFonts w:ascii="仿宋" w:eastAsia="仿宋" w:hAnsi="仿宋"/>
          <w:sz w:val="32"/>
          <w:szCs w:val="32"/>
        </w:rPr>
        <w:t>、</w:t>
      </w:r>
      <w:r w:rsidRPr="004349DB">
        <w:rPr>
          <w:rFonts w:ascii="仿宋" w:eastAsia="仿宋" w:hAnsi="仿宋" w:hint="eastAsia"/>
          <w:sz w:val="32"/>
          <w:szCs w:val="32"/>
        </w:rPr>
        <w:t>户外广告、城管执法、数字化城管、</w:t>
      </w:r>
      <w:r w:rsidRPr="004349DB">
        <w:rPr>
          <w:rFonts w:ascii="仿宋" w:eastAsia="仿宋" w:hAnsi="仿宋"/>
          <w:sz w:val="32"/>
          <w:szCs w:val="32"/>
        </w:rPr>
        <w:t>城市防汛</w:t>
      </w:r>
      <w:r w:rsidRPr="004349DB">
        <w:rPr>
          <w:rFonts w:ascii="仿宋" w:eastAsia="仿宋" w:hAnsi="仿宋" w:hint="eastAsia"/>
          <w:sz w:val="32"/>
          <w:szCs w:val="32"/>
        </w:rPr>
        <w:t>的</w:t>
      </w:r>
      <w:r w:rsidRPr="004349DB">
        <w:rPr>
          <w:rFonts w:ascii="仿宋" w:eastAsia="仿宋" w:hAnsi="仿宋"/>
          <w:sz w:val="32"/>
          <w:szCs w:val="32"/>
        </w:rPr>
        <w:t>发展规划和年度</w:t>
      </w:r>
      <w:r w:rsidRPr="004349DB">
        <w:rPr>
          <w:rFonts w:ascii="仿宋" w:eastAsia="仿宋" w:hAnsi="仿宋"/>
          <w:sz w:val="32"/>
          <w:szCs w:val="32"/>
        </w:rPr>
        <w:lastRenderedPageBreak/>
        <w:t>计划</w:t>
      </w:r>
      <w:r w:rsidRPr="004349DB">
        <w:rPr>
          <w:rFonts w:ascii="仿宋" w:eastAsia="仿宋" w:hAnsi="仿宋" w:hint="eastAsia"/>
          <w:sz w:val="32"/>
          <w:szCs w:val="32"/>
        </w:rPr>
        <w:t>，</w:t>
      </w:r>
      <w:r w:rsidRPr="004349DB">
        <w:rPr>
          <w:rFonts w:ascii="仿宋" w:eastAsia="仿宋" w:hAnsi="仿宋"/>
          <w:sz w:val="32"/>
          <w:szCs w:val="32"/>
        </w:rPr>
        <w:t>并组织实施。</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81" w:firstLine="579"/>
        <w:rPr>
          <w:rFonts w:ascii="仿宋" w:eastAsia="仿宋" w:hAnsi="仿宋"/>
          <w:sz w:val="32"/>
          <w:szCs w:val="32"/>
        </w:rPr>
      </w:pPr>
      <w:r w:rsidRPr="004349DB">
        <w:rPr>
          <w:rFonts w:ascii="仿宋" w:eastAsia="仿宋" w:hAnsi="仿宋"/>
          <w:sz w:val="32"/>
          <w:szCs w:val="32"/>
        </w:rPr>
        <w:t>3、</w:t>
      </w:r>
      <w:r w:rsidRPr="004349DB">
        <w:rPr>
          <w:rFonts w:ascii="仿宋" w:eastAsia="仿宋" w:hAnsi="仿宋" w:hint="eastAsia"/>
          <w:sz w:val="32"/>
          <w:szCs w:val="32"/>
        </w:rPr>
        <w:t>负责组织实施对城市建设管理工作的考核，负责数字化城市管理监督管理工作。</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81" w:firstLine="579"/>
        <w:rPr>
          <w:rFonts w:ascii="仿宋" w:eastAsia="仿宋" w:hAnsi="仿宋"/>
          <w:sz w:val="32"/>
          <w:szCs w:val="32"/>
        </w:rPr>
      </w:pPr>
      <w:r w:rsidRPr="004349DB">
        <w:rPr>
          <w:rFonts w:ascii="仿宋" w:eastAsia="仿宋" w:hAnsi="仿宋" w:hint="eastAsia"/>
          <w:sz w:val="32"/>
          <w:szCs w:val="32"/>
        </w:rPr>
        <w:t>4、</w:t>
      </w:r>
      <w:r w:rsidRPr="004349DB">
        <w:rPr>
          <w:rFonts w:ascii="仿宋" w:eastAsia="仿宋" w:hAnsi="仿宋"/>
          <w:sz w:val="32"/>
          <w:szCs w:val="32"/>
        </w:rPr>
        <w:t>负责全市市政、环卫、园林绿化</w:t>
      </w:r>
      <w:r w:rsidRPr="004349DB">
        <w:rPr>
          <w:rFonts w:ascii="仿宋" w:eastAsia="仿宋" w:hAnsi="仿宋" w:hint="eastAsia"/>
          <w:sz w:val="32"/>
          <w:szCs w:val="32"/>
        </w:rPr>
        <w:t>、城市外环、夜景亮化、数字化城管、城管执法、城市公交、供水、排水、再生水、城市防汛、除雪等城市维护维修建设专项资金计划的编制、定额使用、监督和管理。</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eastAsia="仿宋" w:hAnsi="仿宋"/>
          <w:sz w:val="32"/>
          <w:szCs w:val="32"/>
        </w:rPr>
      </w:pPr>
      <w:r w:rsidRPr="004349DB">
        <w:rPr>
          <w:rFonts w:ascii="仿宋" w:eastAsia="仿宋" w:hAnsi="仿宋"/>
          <w:sz w:val="32"/>
          <w:szCs w:val="32"/>
        </w:rPr>
        <w:t xml:space="preserve">    </w:t>
      </w:r>
      <w:r w:rsidRPr="004349DB">
        <w:rPr>
          <w:rFonts w:ascii="仿宋" w:eastAsia="仿宋" w:hAnsi="仿宋" w:hint="eastAsia"/>
          <w:sz w:val="32"/>
          <w:szCs w:val="32"/>
        </w:rPr>
        <w:t>5</w:t>
      </w:r>
      <w:r w:rsidRPr="004349DB">
        <w:rPr>
          <w:rFonts w:ascii="仿宋" w:eastAsia="仿宋" w:hAnsi="仿宋"/>
          <w:sz w:val="32"/>
          <w:szCs w:val="32"/>
        </w:rPr>
        <w:t>、负责市政、环卫、园林绿化</w:t>
      </w:r>
      <w:r w:rsidRPr="004349DB">
        <w:rPr>
          <w:rFonts w:ascii="仿宋" w:eastAsia="仿宋" w:hAnsi="仿宋" w:hint="eastAsia"/>
          <w:sz w:val="32"/>
          <w:szCs w:val="32"/>
        </w:rPr>
        <w:t>、城市外环、夜景亮化、数字化城管</w:t>
      </w:r>
      <w:r w:rsidRPr="004349DB">
        <w:rPr>
          <w:rFonts w:ascii="仿宋" w:eastAsia="仿宋" w:hAnsi="仿宋"/>
          <w:sz w:val="32"/>
          <w:szCs w:val="32"/>
        </w:rPr>
        <w:t>任务量的核定</w:t>
      </w:r>
      <w:r w:rsidRPr="004349DB">
        <w:rPr>
          <w:rFonts w:ascii="仿宋" w:eastAsia="仿宋" w:hAnsi="仿宋" w:hint="eastAsia"/>
          <w:sz w:val="32"/>
          <w:szCs w:val="32"/>
        </w:rPr>
        <w:t>；负责市政设施建设、</w:t>
      </w:r>
      <w:r w:rsidRPr="004349DB">
        <w:rPr>
          <w:rFonts w:ascii="仿宋" w:eastAsia="仿宋" w:hAnsi="仿宋"/>
          <w:sz w:val="32"/>
          <w:szCs w:val="32"/>
        </w:rPr>
        <w:t>维修</w:t>
      </w:r>
      <w:r w:rsidRPr="004349DB">
        <w:rPr>
          <w:rFonts w:ascii="仿宋" w:eastAsia="仿宋" w:hAnsi="仿宋" w:hint="eastAsia"/>
          <w:sz w:val="32"/>
          <w:szCs w:val="32"/>
        </w:rPr>
        <w:t>、</w:t>
      </w:r>
      <w:r w:rsidRPr="004349DB">
        <w:rPr>
          <w:rFonts w:ascii="仿宋" w:eastAsia="仿宋" w:hAnsi="仿宋"/>
          <w:sz w:val="32"/>
          <w:szCs w:val="32"/>
        </w:rPr>
        <w:t>养护</w:t>
      </w:r>
      <w:r w:rsidRPr="004349DB">
        <w:rPr>
          <w:rFonts w:ascii="仿宋" w:eastAsia="仿宋" w:hAnsi="仿宋" w:hint="eastAsia"/>
          <w:sz w:val="32"/>
          <w:szCs w:val="32"/>
        </w:rPr>
        <w:t>和运行</w:t>
      </w:r>
      <w:r w:rsidRPr="004349DB">
        <w:rPr>
          <w:rFonts w:ascii="仿宋" w:eastAsia="仿宋" w:hAnsi="仿宋"/>
          <w:sz w:val="32"/>
          <w:szCs w:val="32"/>
        </w:rPr>
        <w:t>管理</w:t>
      </w:r>
      <w:r w:rsidRPr="004349DB">
        <w:rPr>
          <w:rFonts w:ascii="仿宋" w:eastAsia="仿宋" w:hAnsi="仿宋" w:hint="eastAsia"/>
          <w:sz w:val="32"/>
          <w:szCs w:val="32"/>
        </w:rPr>
        <w:t>；</w:t>
      </w:r>
      <w:r w:rsidRPr="004349DB">
        <w:rPr>
          <w:rFonts w:ascii="仿宋" w:eastAsia="仿宋" w:hAnsi="仿宋"/>
          <w:sz w:val="32"/>
          <w:szCs w:val="32"/>
        </w:rPr>
        <w:t>负责维修养护管理作业市场的综合管理和维修养护队伍的资质审查；</w:t>
      </w:r>
      <w:r w:rsidRPr="004349DB">
        <w:rPr>
          <w:rFonts w:ascii="仿宋" w:eastAsia="仿宋" w:hAnsi="仿宋" w:hint="eastAsia"/>
          <w:sz w:val="32"/>
          <w:szCs w:val="32"/>
        </w:rPr>
        <w:t>负责</w:t>
      </w:r>
      <w:r w:rsidRPr="004349DB">
        <w:rPr>
          <w:rFonts w:ascii="仿宋" w:eastAsia="仿宋" w:hAnsi="仿宋"/>
          <w:sz w:val="32"/>
          <w:szCs w:val="32"/>
        </w:rPr>
        <w:t>组织、监督养护作业任务的招标、管理、质量检查。</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eastAsia="仿宋" w:hAnsi="仿宋"/>
          <w:sz w:val="32"/>
          <w:szCs w:val="32"/>
        </w:rPr>
      </w:pPr>
      <w:r w:rsidRPr="004349DB">
        <w:rPr>
          <w:rFonts w:ascii="仿宋" w:eastAsia="仿宋" w:hAnsi="仿宋"/>
          <w:sz w:val="32"/>
          <w:szCs w:val="32"/>
        </w:rPr>
        <w:t xml:space="preserve">    </w:t>
      </w:r>
      <w:r w:rsidRPr="004349DB">
        <w:rPr>
          <w:rFonts w:ascii="仿宋" w:eastAsia="仿宋" w:hAnsi="仿宋" w:hint="eastAsia"/>
          <w:sz w:val="32"/>
          <w:szCs w:val="32"/>
        </w:rPr>
        <w:t>6</w:t>
      </w:r>
      <w:r w:rsidRPr="004349DB">
        <w:rPr>
          <w:rFonts w:ascii="仿宋" w:eastAsia="仿宋" w:hAnsi="仿宋"/>
          <w:sz w:val="32"/>
          <w:szCs w:val="32"/>
        </w:rPr>
        <w:t>、负责</w:t>
      </w:r>
      <w:r w:rsidRPr="004349DB">
        <w:rPr>
          <w:rFonts w:ascii="仿宋" w:eastAsia="仿宋" w:hAnsi="仿宋" w:hint="eastAsia"/>
          <w:sz w:val="32"/>
          <w:szCs w:val="32"/>
        </w:rPr>
        <w:t>对各区</w:t>
      </w:r>
      <w:r w:rsidRPr="004349DB">
        <w:rPr>
          <w:rFonts w:ascii="仿宋" w:eastAsia="仿宋" w:hAnsi="仿宋"/>
          <w:sz w:val="32"/>
          <w:szCs w:val="32"/>
        </w:rPr>
        <w:t>市政、环卫、园林绿化、</w:t>
      </w:r>
      <w:r w:rsidRPr="004349DB">
        <w:rPr>
          <w:rFonts w:ascii="仿宋" w:eastAsia="仿宋" w:hAnsi="仿宋" w:hint="eastAsia"/>
          <w:sz w:val="32"/>
          <w:szCs w:val="32"/>
        </w:rPr>
        <w:t>城市公交、供水、排水、再生水、景观亮化建设工程设计的审查；负责工程报建，施工许可审批，工程竣工验收备案及工程监理备案等工程建设施工管理；负责市政、园林队伍和环卫企业的资质审查；负责对</w:t>
      </w:r>
      <w:r w:rsidRPr="004349DB">
        <w:rPr>
          <w:rFonts w:ascii="仿宋" w:eastAsia="仿宋" w:hAnsi="仿宋"/>
          <w:sz w:val="32"/>
          <w:szCs w:val="32"/>
        </w:rPr>
        <w:t>工程招</w:t>
      </w:r>
      <w:r w:rsidRPr="004349DB">
        <w:rPr>
          <w:rFonts w:ascii="仿宋" w:eastAsia="仿宋" w:hAnsi="仿宋" w:hint="eastAsia"/>
          <w:sz w:val="32"/>
          <w:szCs w:val="32"/>
        </w:rPr>
        <w:t>投</w:t>
      </w:r>
      <w:r w:rsidRPr="004349DB">
        <w:rPr>
          <w:rFonts w:ascii="仿宋" w:eastAsia="仿宋" w:hAnsi="仿宋"/>
          <w:sz w:val="32"/>
          <w:szCs w:val="32"/>
        </w:rPr>
        <w:t>标、</w:t>
      </w:r>
      <w:r w:rsidRPr="004349DB">
        <w:rPr>
          <w:rFonts w:ascii="仿宋" w:eastAsia="仿宋" w:hAnsi="仿宋" w:hint="eastAsia"/>
          <w:sz w:val="32"/>
          <w:szCs w:val="32"/>
        </w:rPr>
        <w:t>施工安全、</w:t>
      </w:r>
      <w:r w:rsidRPr="004349DB">
        <w:rPr>
          <w:rFonts w:ascii="仿宋" w:eastAsia="仿宋" w:hAnsi="仿宋"/>
          <w:sz w:val="32"/>
          <w:szCs w:val="32"/>
        </w:rPr>
        <w:t>质量</w:t>
      </w:r>
      <w:r w:rsidRPr="004349DB">
        <w:rPr>
          <w:rFonts w:ascii="仿宋" w:eastAsia="仿宋" w:hAnsi="仿宋" w:hint="eastAsia"/>
          <w:sz w:val="32"/>
          <w:szCs w:val="32"/>
        </w:rPr>
        <w:t>体系</w:t>
      </w:r>
      <w:r w:rsidRPr="004349DB">
        <w:rPr>
          <w:rFonts w:ascii="仿宋" w:eastAsia="仿宋" w:hAnsi="仿宋"/>
          <w:sz w:val="32"/>
          <w:szCs w:val="32"/>
        </w:rPr>
        <w:t>、工程</w:t>
      </w:r>
      <w:r w:rsidRPr="004349DB">
        <w:rPr>
          <w:rFonts w:ascii="仿宋" w:eastAsia="仿宋" w:hAnsi="仿宋" w:hint="eastAsia"/>
          <w:sz w:val="32"/>
          <w:szCs w:val="32"/>
        </w:rPr>
        <w:t>验收及监督交接</w:t>
      </w:r>
      <w:r w:rsidRPr="004349DB">
        <w:rPr>
          <w:rFonts w:ascii="仿宋" w:eastAsia="仿宋" w:hAnsi="仿宋"/>
          <w:sz w:val="32"/>
          <w:szCs w:val="32"/>
        </w:rPr>
        <w:t>、行业科技</w:t>
      </w:r>
      <w:r w:rsidRPr="004349DB">
        <w:rPr>
          <w:rFonts w:ascii="仿宋" w:eastAsia="仿宋" w:hAnsi="仿宋" w:hint="eastAsia"/>
          <w:sz w:val="32"/>
          <w:szCs w:val="32"/>
        </w:rPr>
        <w:t>进行监督</w:t>
      </w:r>
      <w:r w:rsidRPr="004349DB">
        <w:rPr>
          <w:rFonts w:ascii="仿宋" w:eastAsia="仿宋" w:hAnsi="仿宋"/>
          <w:sz w:val="32"/>
          <w:szCs w:val="32"/>
        </w:rPr>
        <w:t>管理</w:t>
      </w:r>
      <w:r w:rsidRPr="004349DB">
        <w:rPr>
          <w:rFonts w:ascii="仿宋" w:eastAsia="仿宋" w:hAnsi="仿宋" w:hint="eastAsia"/>
          <w:sz w:val="32"/>
          <w:szCs w:val="32"/>
        </w:rPr>
        <w:t>；负责全市市政、公用、园林等工程的优质工程和文明工地的评选、审批工作。</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eastAsia="仿宋" w:hAnsi="仿宋"/>
          <w:sz w:val="32"/>
          <w:szCs w:val="32"/>
        </w:rPr>
      </w:pPr>
      <w:r w:rsidRPr="004349DB">
        <w:rPr>
          <w:rFonts w:ascii="仿宋" w:eastAsia="仿宋" w:hAnsi="仿宋"/>
          <w:sz w:val="32"/>
          <w:szCs w:val="32"/>
        </w:rPr>
        <w:lastRenderedPageBreak/>
        <w:t xml:space="preserve">    </w:t>
      </w:r>
      <w:r w:rsidRPr="004349DB">
        <w:rPr>
          <w:rFonts w:ascii="仿宋" w:eastAsia="仿宋" w:hAnsi="仿宋" w:hint="eastAsia"/>
          <w:sz w:val="32"/>
          <w:szCs w:val="32"/>
        </w:rPr>
        <w:t>7</w:t>
      </w:r>
      <w:r w:rsidRPr="004349DB">
        <w:rPr>
          <w:rFonts w:ascii="仿宋" w:eastAsia="仿宋" w:hAnsi="仿宋"/>
          <w:sz w:val="32"/>
          <w:szCs w:val="32"/>
        </w:rPr>
        <w:t>、负责</w:t>
      </w:r>
      <w:r w:rsidRPr="004349DB">
        <w:rPr>
          <w:rFonts w:ascii="仿宋" w:eastAsia="仿宋" w:hAnsi="仿宋" w:hint="eastAsia"/>
          <w:sz w:val="32"/>
          <w:szCs w:val="32"/>
        </w:rPr>
        <w:t>涉及城市建设管理的</w:t>
      </w:r>
      <w:r w:rsidRPr="004349DB">
        <w:rPr>
          <w:rFonts w:ascii="仿宋" w:eastAsia="仿宋" w:hAnsi="仿宋"/>
          <w:sz w:val="32"/>
          <w:szCs w:val="32"/>
        </w:rPr>
        <w:t>对外合作</w:t>
      </w:r>
      <w:r w:rsidRPr="004349DB">
        <w:rPr>
          <w:rFonts w:ascii="仿宋" w:eastAsia="仿宋" w:hAnsi="仿宋" w:hint="eastAsia"/>
          <w:sz w:val="32"/>
          <w:szCs w:val="32"/>
        </w:rPr>
        <w:t>工作</w:t>
      </w:r>
      <w:r w:rsidRPr="004349DB">
        <w:rPr>
          <w:rFonts w:ascii="仿宋" w:eastAsia="仿宋" w:hAnsi="仿宋"/>
          <w:sz w:val="32"/>
          <w:szCs w:val="32"/>
        </w:rPr>
        <w:t>。</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81" w:firstLine="579"/>
        <w:rPr>
          <w:rFonts w:ascii="仿宋" w:eastAsia="仿宋" w:hAnsi="仿宋"/>
          <w:sz w:val="32"/>
          <w:szCs w:val="32"/>
        </w:rPr>
      </w:pPr>
      <w:r w:rsidRPr="004349DB">
        <w:rPr>
          <w:rFonts w:ascii="仿宋" w:eastAsia="仿宋" w:hAnsi="仿宋" w:hint="eastAsia"/>
          <w:sz w:val="32"/>
          <w:szCs w:val="32"/>
        </w:rPr>
        <w:t>8</w:t>
      </w:r>
      <w:r w:rsidRPr="004349DB">
        <w:rPr>
          <w:rFonts w:ascii="仿宋" w:eastAsia="仿宋" w:hAnsi="仿宋"/>
          <w:sz w:val="32"/>
          <w:szCs w:val="32"/>
        </w:rPr>
        <w:t>、负责城市道路占用、挖掘的审批</w:t>
      </w:r>
      <w:r w:rsidRPr="004349DB">
        <w:rPr>
          <w:rFonts w:ascii="仿宋" w:eastAsia="仿宋" w:hAnsi="仿宋" w:hint="eastAsia"/>
          <w:sz w:val="32"/>
          <w:szCs w:val="32"/>
        </w:rPr>
        <w:t>和管理</w:t>
      </w:r>
      <w:r w:rsidRPr="004349DB">
        <w:rPr>
          <w:rFonts w:ascii="仿宋" w:eastAsia="仿宋" w:hAnsi="仿宋"/>
          <w:sz w:val="32"/>
          <w:szCs w:val="32"/>
        </w:rPr>
        <w:t>。</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81" w:firstLine="579"/>
        <w:rPr>
          <w:rFonts w:ascii="仿宋" w:eastAsia="仿宋" w:hAnsi="仿宋"/>
          <w:sz w:val="32"/>
          <w:szCs w:val="32"/>
        </w:rPr>
      </w:pPr>
      <w:r w:rsidRPr="004349DB">
        <w:rPr>
          <w:rFonts w:ascii="仿宋" w:eastAsia="仿宋" w:hAnsi="仿宋"/>
          <w:sz w:val="32"/>
          <w:szCs w:val="32"/>
        </w:rPr>
        <w:t>9、负责城市园林绿化、美化和风景名胜区的规划建设和管理</w:t>
      </w:r>
      <w:r w:rsidRPr="004349DB">
        <w:rPr>
          <w:rFonts w:ascii="仿宋" w:eastAsia="仿宋" w:hAnsi="仿宋" w:hint="eastAsia"/>
          <w:sz w:val="32"/>
          <w:szCs w:val="32"/>
        </w:rPr>
        <w:t>；</w:t>
      </w:r>
      <w:r w:rsidRPr="004349DB">
        <w:rPr>
          <w:rFonts w:ascii="仿宋" w:eastAsia="仿宋" w:hAnsi="仿宋"/>
          <w:sz w:val="32"/>
          <w:szCs w:val="32"/>
        </w:rPr>
        <w:t>对城市规划区内树木砍伐、  占用绿地和园林设施、新扩改建工程的园林绿化配套审批</w:t>
      </w:r>
      <w:r w:rsidRPr="004349DB">
        <w:rPr>
          <w:rFonts w:ascii="仿宋" w:eastAsia="仿宋" w:hAnsi="仿宋" w:hint="eastAsia"/>
          <w:sz w:val="32"/>
          <w:szCs w:val="32"/>
        </w:rPr>
        <w:t>。</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81" w:firstLine="579"/>
        <w:rPr>
          <w:rFonts w:ascii="仿宋" w:eastAsia="仿宋" w:hAnsi="仿宋"/>
          <w:sz w:val="32"/>
          <w:szCs w:val="32"/>
        </w:rPr>
      </w:pPr>
      <w:r w:rsidRPr="004349DB">
        <w:rPr>
          <w:rFonts w:ascii="仿宋" w:eastAsia="仿宋" w:hAnsi="仿宋"/>
          <w:sz w:val="32"/>
          <w:szCs w:val="32"/>
        </w:rPr>
        <w:t>10、负责城市</w:t>
      </w:r>
      <w:r w:rsidRPr="004349DB">
        <w:rPr>
          <w:rFonts w:ascii="仿宋" w:eastAsia="仿宋" w:hAnsi="仿宋" w:hint="eastAsia"/>
          <w:sz w:val="32"/>
          <w:szCs w:val="32"/>
        </w:rPr>
        <w:t>公交、</w:t>
      </w:r>
      <w:r w:rsidRPr="004349DB">
        <w:rPr>
          <w:rFonts w:ascii="仿宋" w:eastAsia="仿宋" w:hAnsi="仿宋"/>
          <w:sz w:val="32"/>
          <w:szCs w:val="32"/>
        </w:rPr>
        <w:t>供水、</w:t>
      </w:r>
      <w:r w:rsidRPr="004349DB">
        <w:rPr>
          <w:rFonts w:ascii="仿宋" w:eastAsia="仿宋" w:hAnsi="仿宋" w:hint="eastAsia"/>
          <w:sz w:val="32"/>
          <w:szCs w:val="32"/>
        </w:rPr>
        <w:t>排水、再生水等公用事业单位国有资产监督管理及公共服务的指导、检查和考核。负责城市防汛、供水、排水、再生水利用</w:t>
      </w:r>
      <w:r w:rsidRPr="004349DB">
        <w:rPr>
          <w:rFonts w:ascii="仿宋" w:eastAsia="仿宋" w:hAnsi="仿宋"/>
          <w:sz w:val="32"/>
          <w:szCs w:val="32"/>
        </w:rPr>
        <w:t>及管网设施的建设综合管理</w:t>
      </w:r>
      <w:r w:rsidRPr="004349DB">
        <w:rPr>
          <w:rFonts w:ascii="仿宋" w:eastAsia="仿宋" w:hAnsi="仿宋" w:hint="eastAsia"/>
          <w:sz w:val="32"/>
          <w:szCs w:val="32"/>
        </w:rPr>
        <w:t>；</w:t>
      </w:r>
      <w:r w:rsidRPr="004349DB">
        <w:rPr>
          <w:rFonts w:ascii="仿宋" w:eastAsia="仿宋" w:hAnsi="仿宋"/>
          <w:sz w:val="32"/>
          <w:szCs w:val="32"/>
        </w:rPr>
        <w:t>负责供水、排水，</w:t>
      </w:r>
      <w:proofErr w:type="gramStart"/>
      <w:r w:rsidRPr="004349DB">
        <w:rPr>
          <w:rFonts w:ascii="仿宋" w:eastAsia="仿宋" w:hAnsi="仿宋"/>
          <w:sz w:val="32"/>
          <w:szCs w:val="32"/>
        </w:rPr>
        <w:t>接管纳网的</w:t>
      </w:r>
      <w:proofErr w:type="gramEnd"/>
      <w:r w:rsidRPr="004349DB">
        <w:rPr>
          <w:rFonts w:ascii="仿宋" w:eastAsia="仿宋" w:hAnsi="仿宋"/>
          <w:sz w:val="32"/>
          <w:szCs w:val="32"/>
        </w:rPr>
        <w:t>审批</w:t>
      </w:r>
      <w:r w:rsidRPr="004349DB">
        <w:rPr>
          <w:rFonts w:ascii="仿宋" w:eastAsia="仿宋" w:hAnsi="仿宋" w:hint="eastAsia"/>
          <w:sz w:val="32"/>
          <w:szCs w:val="32"/>
        </w:rPr>
        <w:t>；负责规划区内地下水开采；利用初步审批。</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sz w:val="32"/>
          <w:szCs w:val="32"/>
        </w:rPr>
        <w:t>11、</w:t>
      </w:r>
      <w:r w:rsidRPr="004349DB">
        <w:rPr>
          <w:rFonts w:ascii="仿宋" w:eastAsia="仿宋" w:hAnsi="仿宋" w:hint="eastAsia"/>
          <w:sz w:val="32"/>
          <w:szCs w:val="32"/>
        </w:rPr>
        <w:t>负责城市中心区夜景亮化及户外广告监督和管理。</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hint="eastAsia"/>
          <w:sz w:val="32"/>
          <w:szCs w:val="32"/>
        </w:rPr>
        <w:t>12、负责收缴城市道路占用费、挖掘补偿费、市政设施有偿使用费、园林绿地占用费、城市绿化配套补偿费、自来水附加费、城市建筑垃圾处置费、外环、城际快速路收费及各项罚没款；对污水处理费、再生水利用费、生活垃圾处置费、自来水费、公交收费的使用情况进行监督和审查。</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hint="eastAsia"/>
          <w:sz w:val="32"/>
          <w:szCs w:val="32"/>
        </w:rPr>
        <w:t>13、负责城市规划管理方面的法律、法规、规章规定的城市规划区内未经规划部门行政许可、行政审批的建筑物、构筑物和其他设施管理方面法律、法规、规章规定的行政监督、检查、处罚及依法</w:t>
      </w:r>
      <w:r w:rsidRPr="004349DB">
        <w:rPr>
          <w:rFonts w:ascii="仿宋" w:eastAsia="仿宋" w:hAnsi="仿宋" w:hint="eastAsia"/>
          <w:sz w:val="32"/>
          <w:szCs w:val="32"/>
        </w:rPr>
        <w:lastRenderedPageBreak/>
        <w:t>强制执行。</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hint="eastAsia"/>
          <w:sz w:val="32"/>
          <w:szCs w:val="32"/>
        </w:rPr>
        <w:t>14、负责城市建设方面法律、法规、规章规定的对在城市热力、燃气管道及设施上修筑建筑物、构筑物或堆放物品，未经批准擅自经营液化气行为的行政监督、检查、处罚及依法强制执行。</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hint="eastAsia"/>
          <w:sz w:val="32"/>
          <w:szCs w:val="32"/>
        </w:rPr>
        <w:t>15、负责工商行政管理方面法律、法规、规章规定的对城市市场外溢、店外经营和无照商贩、临时摊点的行政监督、检查、处罚及依法强制执行。</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hint="eastAsia"/>
          <w:sz w:val="32"/>
          <w:szCs w:val="32"/>
        </w:rPr>
        <w:t>16、负责公安交通管理方面法律、法规、规章规定的对侵占城市道路行为（限于人行道范围，</w:t>
      </w:r>
      <w:proofErr w:type="gramStart"/>
      <w:r w:rsidRPr="004349DB">
        <w:rPr>
          <w:rFonts w:ascii="仿宋" w:eastAsia="仿宋" w:hAnsi="仿宋" w:hint="eastAsia"/>
          <w:sz w:val="32"/>
          <w:szCs w:val="32"/>
        </w:rPr>
        <w:t>含车辆</w:t>
      </w:r>
      <w:proofErr w:type="gramEnd"/>
      <w:r w:rsidRPr="004349DB">
        <w:rPr>
          <w:rFonts w:ascii="仿宋" w:eastAsia="仿宋" w:hAnsi="仿宋" w:hint="eastAsia"/>
          <w:sz w:val="32"/>
          <w:szCs w:val="32"/>
        </w:rPr>
        <w:t>停放）的行政监督、检查、处罚及依法强制执行。</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hint="eastAsia"/>
          <w:sz w:val="32"/>
          <w:szCs w:val="32"/>
        </w:rPr>
        <w:t>17、负责市容、环境卫生、车辆飘洒、亮化美化、户外广告、门店牌匾、城市绿化、市政、城市公交、洗车及城市供水、排水、规划区内开采地下水的行政监督、检查、处罚及依法强制执行。</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hint="eastAsia"/>
          <w:sz w:val="32"/>
          <w:szCs w:val="32"/>
        </w:rPr>
        <w:t>18、负责指挥、调度、协调城市管理执法队伍集中开展综合治理和重点工作；督导检查城市管理执法工作目标的完成；负责对市中心区城管执法人员的资格初审和申报。</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hint="eastAsia"/>
          <w:sz w:val="32"/>
          <w:szCs w:val="32"/>
        </w:rPr>
        <w:t>19、负责受理城市管理工作的投诉、举报的处理和行政复议、行政诉讼的答辩、应诉工作；查处城管执法人员在履行职责过程中的违规、违纪案件；负责市中心区城管执法人员培训，并指导全市城</w:t>
      </w:r>
      <w:r w:rsidRPr="004349DB">
        <w:rPr>
          <w:rFonts w:ascii="仿宋" w:eastAsia="仿宋" w:hAnsi="仿宋" w:hint="eastAsia"/>
          <w:sz w:val="32"/>
          <w:szCs w:val="32"/>
        </w:rPr>
        <w:lastRenderedPageBreak/>
        <w:t>管执法人员的培训工作。</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hint="eastAsia"/>
          <w:sz w:val="32"/>
          <w:szCs w:val="32"/>
        </w:rPr>
        <w:t>20、负责</w:t>
      </w:r>
      <w:r w:rsidRPr="004349DB">
        <w:rPr>
          <w:rFonts w:ascii="仿宋" w:eastAsia="仿宋" w:hAnsi="仿宋"/>
          <w:sz w:val="32"/>
          <w:szCs w:val="32"/>
        </w:rPr>
        <w:t>指导</w:t>
      </w:r>
      <w:r w:rsidRPr="004349DB">
        <w:rPr>
          <w:rFonts w:ascii="仿宋" w:eastAsia="仿宋" w:hAnsi="仿宋" w:hint="eastAsia"/>
          <w:sz w:val="32"/>
          <w:szCs w:val="32"/>
        </w:rPr>
        <w:t>全</w:t>
      </w:r>
      <w:r w:rsidRPr="004349DB">
        <w:rPr>
          <w:rFonts w:ascii="仿宋" w:eastAsia="仿宋" w:hAnsi="仿宋"/>
          <w:sz w:val="32"/>
          <w:szCs w:val="32"/>
        </w:rPr>
        <w:t>市城市管理工作</w:t>
      </w:r>
      <w:r w:rsidRPr="004349DB">
        <w:rPr>
          <w:rFonts w:ascii="仿宋" w:eastAsia="仿宋" w:hAnsi="仿宋" w:hint="eastAsia"/>
          <w:sz w:val="32"/>
          <w:szCs w:val="32"/>
        </w:rPr>
        <w:t>；</w:t>
      </w:r>
      <w:r w:rsidRPr="004349DB">
        <w:rPr>
          <w:rFonts w:ascii="仿宋" w:eastAsia="仿宋" w:hAnsi="仿宋"/>
          <w:sz w:val="32"/>
          <w:szCs w:val="32"/>
        </w:rPr>
        <w:t>对各</w:t>
      </w:r>
      <w:r w:rsidRPr="004349DB">
        <w:rPr>
          <w:rFonts w:ascii="仿宋" w:eastAsia="仿宋" w:hAnsi="仿宋" w:hint="eastAsia"/>
          <w:sz w:val="32"/>
          <w:szCs w:val="32"/>
        </w:rPr>
        <w:t>市辖区城市管理</w:t>
      </w:r>
      <w:r w:rsidRPr="004349DB">
        <w:rPr>
          <w:rFonts w:ascii="仿宋" w:eastAsia="仿宋" w:hAnsi="仿宋"/>
          <w:sz w:val="32"/>
          <w:szCs w:val="32"/>
        </w:rPr>
        <w:t>工作实行业务领导。</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sz w:val="32"/>
          <w:szCs w:val="32"/>
        </w:rPr>
      </w:pPr>
      <w:r w:rsidRPr="004349DB">
        <w:rPr>
          <w:rFonts w:ascii="仿宋" w:eastAsia="仿宋" w:hAnsi="仿宋" w:hint="eastAsia"/>
          <w:sz w:val="32"/>
          <w:szCs w:val="32"/>
        </w:rPr>
        <w:t>21、承办市政府交办的其他事项。</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eastAsia="仿宋" w:hAnsi="仿宋" w:cs="方正仿宋_GBK"/>
          <w:b/>
          <w:bCs/>
          <w:sz w:val="32"/>
          <w:szCs w:val="32"/>
        </w:rPr>
      </w:pPr>
      <w:r w:rsidRPr="004349DB">
        <w:rPr>
          <w:rFonts w:ascii="仿宋" w:eastAsia="仿宋" w:hAnsi="仿宋" w:hint="eastAsia"/>
          <w:sz w:val="32"/>
          <w:szCs w:val="32"/>
        </w:rPr>
        <w:t xml:space="preserve"> </w:t>
      </w:r>
      <w:r>
        <w:rPr>
          <w:rFonts w:ascii="仿宋" w:eastAsia="仿宋" w:hAnsi="仿宋" w:cs="宋体" w:hint="eastAsia"/>
          <w:b/>
          <w:color w:val="000000"/>
          <w:sz w:val="32"/>
          <w:szCs w:val="32"/>
        </w:rPr>
        <w:t xml:space="preserve"> </w:t>
      </w:r>
      <w:r w:rsidRPr="004349DB">
        <w:rPr>
          <w:rFonts w:ascii="仿宋" w:eastAsia="仿宋" w:hAnsi="仿宋" w:cs="方正仿宋_GBK" w:hint="eastAsia"/>
          <w:b/>
          <w:bCs/>
          <w:sz w:val="32"/>
          <w:szCs w:val="32"/>
        </w:rPr>
        <w:t>机构设置：</w:t>
      </w:r>
    </w:p>
    <w:p w:rsidR="004349DB" w:rsidRPr="004349DB" w:rsidRDefault="004349DB" w:rsidP="004349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321"/>
        <w:rPr>
          <w:rFonts w:ascii="仿宋" w:eastAsia="仿宋" w:hAnsi="仿宋" w:cs="宋体"/>
          <w:b/>
          <w:color w:val="000000"/>
          <w:sz w:val="32"/>
          <w:szCs w:val="32"/>
        </w:rPr>
      </w:pPr>
      <w:r w:rsidRPr="004349DB">
        <w:rPr>
          <w:rFonts w:ascii="仿宋" w:eastAsia="仿宋" w:hAnsi="仿宋" w:cs="宋体" w:hint="eastAsia"/>
          <w:b/>
          <w:color w:val="000000"/>
          <w:sz w:val="32"/>
          <w:szCs w:val="32"/>
        </w:rPr>
        <w:t>唐山市城市管理局及其所属预算单位构成</w:t>
      </w:r>
      <w:r>
        <w:rPr>
          <w:rFonts w:ascii="仿宋" w:eastAsia="仿宋" w:hAnsi="仿宋" w:cs="宋体" w:hint="eastAsia"/>
          <w:b/>
          <w:color w:val="000000"/>
          <w:sz w:val="32"/>
          <w:szCs w:val="32"/>
        </w:rPr>
        <w:t>：</w:t>
      </w:r>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t>（1）唐山市城市管理局为财政拨款的行政机关</w:t>
      </w:r>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t>（2）唐山市城市管理局（执法大队）为财政性资金基本保证经费</w:t>
      </w:r>
      <w:proofErr w:type="gramStart"/>
      <w:r w:rsidRPr="004349DB">
        <w:rPr>
          <w:rFonts w:ascii="仿宋" w:eastAsia="仿宋" w:hAnsi="仿宋" w:cs="宋体" w:hint="eastAsia"/>
          <w:color w:val="000000"/>
          <w:sz w:val="32"/>
          <w:szCs w:val="32"/>
        </w:rPr>
        <w:t>的参公单位</w:t>
      </w:r>
      <w:proofErr w:type="gramEnd"/>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t>（3）唐山市数字化城市管理指挥调度中心为财政性资金基本保证经费的事业单位</w:t>
      </w:r>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t>（4）唐山市园林绿化管理局为财政性资金基本保证经费的事业单位</w:t>
      </w:r>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t>（5）唐山市园林绿化管理处为财政性资金定额或定项补助的事业单位</w:t>
      </w:r>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t>（6）唐山城建外环管理处为财政性资金零补助的事业单位</w:t>
      </w:r>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t>（7）唐山市夜景亮化广告管理服务中心为财政性资金零补助的事业单位</w:t>
      </w:r>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t>（8）唐山市市政工程环境卫生管理处为财政性资金基本保证经费的事业单位</w:t>
      </w:r>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lastRenderedPageBreak/>
        <w:t>（9）唐山市</w:t>
      </w:r>
      <w:proofErr w:type="gramStart"/>
      <w:r w:rsidRPr="004349DB">
        <w:rPr>
          <w:rFonts w:ascii="仿宋" w:eastAsia="仿宋" w:hAnsi="仿宋" w:cs="宋体" w:hint="eastAsia"/>
          <w:color w:val="000000"/>
          <w:sz w:val="32"/>
          <w:szCs w:val="32"/>
        </w:rPr>
        <w:t>王禾庄</w:t>
      </w:r>
      <w:proofErr w:type="gramEnd"/>
      <w:r w:rsidRPr="004349DB">
        <w:rPr>
          <w:rFonts w:ascii="仿宋" w:eastAsia="仿宋" w:hAnsi="仿宋" w:cs="宋体" w:hint="eastAsia"/>
          <w:color w:val="000000"/>
          <w:sz w:val="32"/>
          <w:szCs w:val="32"/>
        </w:rPr>
        <w:t>垃圾转运站为财政性资金基本保证经费的事业单位</w:t>
      </w:r>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t>（10）唐山市尖子</w:t>
      </w:r>
      <w:proofErr w:type="gramStart"/>
      <w:r w:rsidRPr="004349DB">
        <w:rPr>
          <w:rFonts w:ascii="仿宋" w:eastAsia="仿宋" w:hAnsi="仿宋" w:cs="宋体" w:hint="eastAsia"/>
          <w:color w:val="000000"/>
          <w:sz w:val="32"/>
          <w:szCs w:val="32"/>
        </w:rPr>
        <w:t>沽</w:t>
      </w:r>
      <w:proofErr w:type="gramEnd"/>
      <w:r w:rsidRPr="004349DB">
        <w:rPr>
          <w:rFonts w:ascii="仿宋" w:eastAsia="仿宋" w:hAnsi="仿宋" w:cs="宋体" w:hint="eastAsia"/>
          <w:color w:val="000000"/>
          <w:sz w:val="32"/>
          <w:szCs w:val="32"/>
        </w:rPr>
        <w:t>生活垃圾填埋场为财政性资金基本保证经费的事业单位</w:t>
      </w:r>
    </w:p>
    <w:p w:rsidR="004349DB" w:rsidRPr="004349DB" w:rsidRDefault="004349DB" w:rsidP="004349DB">
      <w:pPr>
        <w:spacing w:line="360" w:lineRule="auto"/>
        <w:jc w:val="left"/>
        <w:rPr>
          <w:rFonts w:ascii="仿宋" w:eastAsia="仿宋" w:hAnsi="仿宋" w:cs="宋体"/>
          <w:color w:val="000000"/>
          <w:sz w:val="32"/>
          <w:szCs w:val="32"/>
        </w:rPr>
      </w:pPr>
      <w:r w:rsidRPr="004349DB">
        <w:rPr>
          <w:rFonts w:ascii="仿宋" w:eastAsia="仿宋" w:hAnsi="仿宋" w:cs="宋体" w:hint="eastAsia"/>
          <w:color w:val="000000"/>
          <w:sz w:val="32"/>
          <w:szCs w:val="32"/>
        </w:rPr>
        <w:t>（11）唐山市路灯管理所为财政性资金基本保证经费的事业单位</w:t>
      </w:r>
    </w:p>
    <w:p w:rsidR="00054DAF" w:rsidRPr="004349DB" w:rsidRDefault="004349DB" w:rsidP="004349DB">
      <w:pPr>
        <w:rPr>
          <w:rFonts w:ascii="仿宋" w:eastAsia="仿宋" w:hAnsi="仿宋" w:cs="Times New Roman"/>
          <w:b/>
          <w:bCs/>
          <w:sz w:val="32"/>
          <w:szCs w:val="32"/>
        </w:rPr>
      </w:pPr>
      <w:r w:rsidRPr="004349DB">
        <w:rPr>
          <w:rFonts w:ascii="仿宋" w:eastAsia="仿宋" w:hAnsi="仿宋" w:cs="宋体" w:hint="eastAsia"/>
          <w:color w:val="000000"/>
          <w:sz w:val="32"/>
          <w:szCs w:val="32"/>
        </w:rPr>
        <w:t>（12）唐山市城环垃圾处置有限公司为财政性资金零补助的其他单位</w:t>
      </w:r>
    </w:p>
    <w:p w:rsidR="00054DAF" w:rsidRDefault="00054DAF">
      <w:pPr>
        <w:rPr>
          <w:rFonts w:cs="Times New Roman"/>
        </w:rPr>
      </w:pPr>
    </w:p>
    <w:p w:rsidR="00054DAF" w:rsidRPr="00524899" w:rsidRDefault="00054DAF" w:rsidP="007E1DA8">
      <w:pPr>
        <w:ind w:firstLine="640"/>
        <w:rPr>
          <w:rFonts w:ascii="仿宋" w:eastAsia="仿宋" w:hAnsi="仿宋" w:cs="Times New Roman"/>
          <w:sz w:val="32"/>
          <w:szCs w:val="32"/>
        </w:rPr>
      </w:pPr>
      <w:r w:rsidRPr="00524899">
        <w:rPr>
          <w:rFonts w:ascii="仿宋" w:eastAsia="仿宋" w:hAnsi="仿宋" w:cs="黑体" w:hint="eastAsia"/>
          <w:sz w:val="32"/>
          <w:szCs w:val="32"/>
        </w:rPr>
        <w:t>二、部门预算安排的总体情况</w:t>
      </w:r>
    </w:p>
    <w:p w:rsidR="00054DAF" w:rsidRPr="00524899" w:rsidRDefault="00054DAF" w:rsidP="00776C08">
      <w:pPr>
        <w:ind w:firstLine="640"/>
        <w:rPr>
          <w:rFonts w:ascii="仿宋" w:eastAsia="仿宋" w:hAnsi="仿宋" w:cs="Times New Roman"/>
          <w:sz w:val="32"/>
          <w:szCs w:val="32"/>
        </w:rPr>
      </w:pPr>
      <w:r w:rsidRPr="00524899">
        <w:rPr>
          <w:rFonts w:ascii="仿宋" w:eastAsia="仿宋" w:hAnsi="仿宋" w:cs="方正仿宋_GBK" w:hint="eastAsia"/>
          <w:sz w:val="32"/>
          <w:szCs w:val="32"/>
        </w:rPr>
        <w:t>按照预算管理有关规定，目前</w:t>
      </w:r>
      <w:proofErr w:type="gramStart"/>
      <w:r w:rsidRPr="00524899">
        <w:rPr>
          <w:rFonts w:ascii="仿宋" w:eastAsia="仿宋" w:hAnsi="仿宋" w:cs="方正仿宋_GBK" w:hint="eastAsia"/>
          <w:sz w:val="32"/>
          <w:szCs w:val="32"/>
        </w:rPr>
        <w:t>我</w:t>
      </w:r>
      <w:r w:rsidR="004349DB" w:rsidRPr="00524899">
        <w:rPr>
          <w:rFonts w:ascii="仿宋" w:eastAsia="仿宋" w:hAnsi="仿宋" w:cs="方正仿宋_GBK" w:hint="eastAsia"/>
          <w:sz w:val="32"/>
          <w:szCs w:val="32"/>
        </w:rPr>
        <w:t>部门</w:t>
      </w:r>
      <w:proofErr w:type="gramEnd"/>
      <w:r w:rsidRPr="00524899">
        <w:rPr>
          <w:rFonts w:ascii="仿宋" w:eastAsia="仿宋" w:hAnsi="仿宋" w:cs="方正仿宋_GBK" w:hint="eastAsia"/>
          <w:sz w:val="32"/>
          <w:szCs w:val="32"/>
        </w:rPr>
        <w:t>预算的编制实行综合预算制度，即全部收入和支出都反映的预算中。</w:t>
      </w:r>
      <w:r w:rsidR="004349DB" w:rsidRPr="00524899">
        <w:rPr>
          <w:rFonts w:ascii="仿宋" w:eastAsia="仿宋" w:hAnsi="仿宋" w:cs="方正仿宋_GBK" w:hint="eastAsia"/>
          <w:sz w:val="32"/>
          <w:szCs w:val="32"/>
        </w:rPr>
        <w:t>我局及所属预算</w:t>
      </w:r>
      <w:r w:rsidRPr="00524899">
        <w:rPr>
          <w:rFonts w:ascii="仿宋" w:eastAsia="仿宋" w:hAnsi="仿宋" w:cs="方正仿宋_GBK" w:hint="eastAsia"/>
          <w:sz w:val="32"/>
          <w:szCs w:val="32"/>
        </w:rPr>
        <w:t>单位的收支包含在部门预算中。</w:t>
      </w:r>
    </w:p>
    <w:p w:rsidR="00054DAF" w:rsidRPr="00524899" w:rsidRDefault="00054DAF" w:rsidP="00776C08">
      <w:pPr>
        <w:ind w:firstLine="640"/>
        <w:rPr>
          <w:rFonts w:ascii="仿宋" w:eastAsia="仿宋" w:hAnsi="仿宋" w:cs="Times New Roman"/>
          <w:sz w:val="32"/>
          <w:szCs w:val="32"/>
        </w:rPr>
      </w:pPr>
      <w:r w:rsidRPr="00524899">
        <w:rPr>
          <w:rFonts w:ascii="仿宋" w:eastAsia="仿宋" w:hAnsi="仿宋" w:cs="Times New Roman"/>
          <w:sz w:val="32"/>
          <w:szCs w:val="32"/>
        </w:rPr>
        <w:t>1</w:t>
      </w:r>
      <w:r w:rsidRPr="00524899">
        <w:rPr>
          <w:rFonts w:ascii="仿宋" w:eastAsia="仿宋" w:hAnsi="仿宋" w:cs="方正仿宋_GBK" w:hint="eastAsia"/>
          <w:sz w:val="32"/>
          <w:szCs w:val="32"/>
        </w:rPr>
        <w:t>、收入说明：本年度</w:t>
      </w:r>
      <w:r w:rsidR="006B1710" w:rsidRPr="00524899">
        <w:rPr>
          <w:rFonts w:ascii="仿宋" w:eastAsia="仿宋" w:hAnsi="仿宋" w:cs="方正仿宋_GBK" w:hint="eastAsia"/>
          <w:sz w:val="32"/>
          <w:szCs w:val="32"/>
        </w:rPr>
        <w:t>预算收入108321.68万元，其中</w:t>
      </w:r>
      <w:r w:rsidRPr="00524899">
        <w:rPr>
          <w:rFonts w:ascii="仿宋" w:eastAsia="仿宋" w:hAnsi="仿宋" w:cs="方正仿宋_GBK" w:hint="eastAsia"/>
          <w:sz w:val="32"/>
          <w:szCs w:val="32"/>
        </w:rPr>
        <w:t>一般公共预算拨款</w:t>
      </w:r>
      <w:r w:rsidR="004349DB" w:rsidRPr="00524899">
        <w:rPr>
          <w:rFonts w:ascii="仿宋" w:eastAsia="仿宋" w:hAnsi="仿宋" w:cs="Times New Roman" w:hint="eastAsia"/>
          <w:sz w:val="32"/>
          <w:szCs w:val="32"/>
        </w:rPr>
        <w:t>93321.68</w:t>
      </w:r>
      <w:r w:rsidR="006B1710" w:rsidRPr="00524899">
        <w:rPr>
          <w:rFonts w:ascii="仿宋" w:eastAsia="仿宋" w:hAnsi="仿宋" w:cs="方正仿宋_GBK" w:hint="eastAsia"/>
          <w:sz w:val="32"/>
          <w:szCs w:val="32"/>
        </w:rPr>
        <w:t>万元，政府性基金预算收入15000万元</w:t>
      </w:r>
      <w:r w:rsidRPr="00524899">
        <w:rPr>
          <w:rFonts w:ascii="仿宋" w:eastAsia="仿宋" w:hAnsi="仿宋" w:cs="方正仿宋_GBK" w:hint="eastAsia"/>
          <w:sz w:val="32"/>
          <w:szCs w:val="32"/>
        </w:rPr>
        <w:t>。</w:t>
      </w:r>
    </w:p>
    <w:p w:rsidR="00054DAF" w:rsidRPr="00524899" w:rsidRDefault="00054DAF" w:rsidP="00776C08">
      <w:pPr>
        <w:ind w:firstLine="640"/>
        <w:rPr>
          <w:rFonts w:ascii="仿宋" w:eastAsia="仿宋" w:hAnsi="仿宋" w:cs="Times New Roman"/>
          <w:sz w:val="32"/>
          <w:szCs w:val="32"/>
        </w:rPr>
      </w:pPr>
      <w:r w:rsidRPr="00524899">
        <w:rPr>
          <w:rFonts w:ascii="仿宋" w:eastAsia="仿宋" w:hAnsi="仿宋" w:cs="Times New Roman"/>
          <w:sz w:val="32"/>
          <w:szCs w:val="32"/>
        </w:rPr>
        <w:t>2</w:t>
      </w:r>
      <w:r w:rsidRPr="00524899">
        <w:rPr>
          <w:rFonts w:ascii="仿宋" w:eastAsia="仿宋" w:hAnsi="仿宋" w:cs="方正仿宋_GBK" w:hint="eastAsia"/>
          <w:sz w:val="32"/>
          <w:szCs w:val="32"/>
        </w:rPr>
        <w:t>、支出说明：本年度预算支出</w:t>
      </w:r>
      <w:r w:rsidR="006B1710" w:rsidRPr="00524899">
        <w:rPr>
          <w:rFonts w:ascii="仿宋" w:eastAsia="仿宋" w:hAnsi="仿宋" w:cs="Times New Roman" w:hint="eastAsia"/>
          <w:sz w:val="32"/>
          <w:szCs w:val="32"/>
        </w:rPr>
        <w:t>108321.68</w:t>
      </w:r>
      <w:r w:rsidRPr="00524899">
        <w:rPr>
          <w:rFonts w:ascii="仿宋" w:eastAsia="仿宋" w:hAnsi="仿宋" w:cs="方正仿宋_GBK" w:hint="eastAsia"/>
          <w:sz w:val="32"/>
          <w:szCs w:val="32"/>
        </w:rPr>
        <w:t>万元，其中基本支出</w:t>
      </w:r>
      <w:r w:rsidR="006B1710" w:rsidRPr="00524899">
        <w:rPr>
          <w:rFonts w:ascii="仿宋" w:eastAsia="仿宋" w:hAnsi="仿宋" w:cs="Times New Roman" w:hint="eastAsia"/>
          <w:sz w:val="32"/>
          <w:szCs w:val="32"/>
        </w:rPr>
        <w:t>35577.58</w:t>
      </w:r>
      <w:r w:rsidRPr="00524899">
        <w:rPr>
          <w:rFonts w:ascii="仿宋" w:eastAsia="仿宋" w:hAnsi="仿宋" w:cs="方正仿宋_GBK" w:hint="eastAsia"/>
          <w:sz w:val="32"/>
          <w:szCs w:val="32"/>
        </w:rPr>
        <w:t>万元，项目支出</w:t>
      </w:r>
      <w:r w:rsidR="006B1710" w:rsidRPr="00524899">
        <w:rPr>
          <w:rFonts w:ascii="仿宋" w:eastAsia="仿宋" w:hAnsi="仿宋" w:cs="Times New Roman" w:hint="eastAsia"/>
          <w:sz w:val="32"/>
          <w:szCs w:val="32"/>
        </w:rPr>
        <w:t>72744.1</w:t>
      </w:r>
      <w:r w:rsidRPr="00524899">
        <w:rPr>
          <w:rFonts w:ascii="仿宋" w:eastAsia="仿宋" w:hAnsi="仿宋" w:cs="方正仿宋_GBK" w:hint="eastAsia"/>
          <w:sz w:val="32"/>
          <w:szCs w:val="32"/>
        </w:rPr>
        <w:t>万元。基本支出中人员经费</w:t>
      </w:r>
      <w:r w:rsidR="006B1710" w:rsidRPr="00524899">
        <w:rPr>
          <w:rFonts w:ascii="仿宋" w:eastAsia="仿宋" w:hAnsi="仿宋" w:cs="Times New Roman" w:hint="eastAsia"/>
          <w:sz w:val="32"/>
          <w:szCs w:val="32"/>
        </w:rPr>
        <w:t>12999.22</w:t>
      </w:r>
      <w:r w:rsidRPr="00524899">
        <w:rPr>
          <w:rFonts w:ascii="仿宋" w:eastAsia="仿宋" w:hAnsi="仿宋" w:cs="方正仿宋_GBK" w:hint="eastAsia"/>
          <w:sz w:val="32"/>
          <w:szCs w:val="32"/>
        </w:rPr>
        <w:t>万元，日常公用经费</w:t>
      </w:r>
      <w:r w:rsidR="006B1710" w:rsidRPr="00524899">
        <w:rPr>
          <w:rFonts w:ascii="仿宋" w:eastAsia="仿宋" w:hAnsi="仿宋" w:cs="Times New Roman" w:hint="eastAsia"/>
          <w:sz w:val="32"/>
          <w:szCs w:val="32"/>
        </w:rPr>
        <w:t>22578.36</w:t>
      </w:r>
      <w:r w:rsidRPr="00524899">
        <w:rPr>
          <w:rFonts w:ascii="仿宋" w:eastAsia="仿宋" w:hAnsi="仿宋" w:cs="方正仿宋_GBK" w:hint="eastAsia"/>
          <w:sz w:val="32"/>
          <w:szCs w:val="32"/>
        </w:rPr>
        <w:t>万元。</w:t>
      </w:r>
    </w:p>
    <w:p w:rsidR="00054DAF" w:rsidRPr="00524899" w:rsidRDefault="00054DAF" w:rsidP="00776C08">
      <w:pPr>
        <w:ind w:firstLine="640"/>
        <w:rPr>
          <w:rFonts w:ascii="仿宋" w:eastAsia="仿宋" w:hAnsi="仿宋" w:cs="Times New Roman"/>
          <w:sz w:val="32"/>
          <w:szCs w:val="32"/>
        </w:rPr>
      </w:pPr>
      <w:r w:rsidRPr="00524899">
        <w:rPr>
          <w:rFonts w:ascii="仿宋" w:eastAsia="仿宋" w:hAnsi="仿宋" w:cs="Times New Roman"/>
          <w:sz w:val="32"/>
          <w:szCs w:val="32"/>
        </w:rPr>
        <w:t>3</w:t>
      </w:r>
      <w:r w:rsidRPr="00524899">
        <w:rPr>
          <w:rFonts w:ascii="仿宋" w:eastAsia="仿宋" w:hAnsi="仿宋" w:cs="方正仿宋_GBK" w:hint="eastAsia"/>
          <w:sz w:val="32"/>
          <w:szCs w:val="32"/>
        </w:rPr>
        <w:t>、比上年增减情况：本年度预算支出</w:t>
      </w:r>
      <w:r w:rsidR="006B1710" w:rsidRPr="00524899">
        <w:rPr>
          <w:rFonts w:ascii="仿宋" w:eastAsia="仿宋" w:hAnsi="仿宋" w:cs="方正仿宋_GBK" w:hint="eastAsia"/>
          <w:sz w:val="32"/>
          <w:szCs w:val="32"/>
        </w:rPr>
        <w:t>减少79348.29</w:t>
      </w:r>
      <w:r w:rsidRPr="00524899">
        <w:rPr>
          <w:rFonts w:ascii="仿宋" w:eastAsia="仿宋" w:hAnsi="仿宋" w:cs="方正仿宋_GBK" w:hint="eastAsia"/>
          <w:sz w:val="32"/>
          <w:szCs w:val="32"/>
        </w:rPr>
        <w:t>万元，其中项目支出</w:t>
      </w:r>
      <w:r w:rsidR="006B1710" w:rsidRPr="00524899">
        <w:rPr>
          <w:rFonts w:ascii="仿宋" w:eastAsia="仿宋" w:hAnsi="仿宋" w:cs="方正仿宋_GBK" w:hint="eastAsia"/>
          <w:sz w:val="32"/>
          <w:szCs w:val="32"/>
        </w:rPr>
        <w:t>减少80630.84万元，</w:t>
      </w:r>
      <w:r w:rsidR="006B1710" w:rsidRPr="00524899">
        <w:rPr>
          <w:rFonts w:ascii="仿宋" w:eastAsia="仿宋" w:hAnsi="仿宋" w:cs="方正仿宋_GBK" w:hint="eastAsia"/>
          <w:sz w:val="32"/>
          <w:szCs w:val="32"/>
        </w:rPr>
        <w:lastRenderedPageBreak/>
        <w:t>主要是园林市政项目减少</w:t>
      </w:r>
      <w:r w:rsidRPr="00524899">
        <w:rPr>
          <w:rFonts w:ascii="仿宋" w:eastAsia="仿宋" w:hAnsi="仿宋" w:cs="方正仿宋_GBK" w:hint="eastAsia"/>
          <w:sz w:val="32"/>
          <w:szCs w:val="32"/>
        </w:rPr>
        <w:t>。人员经费增加</w:t>
      </w:r>
      <w:r w:rsidR="006B1710" w:rsidRPr="00524899">
        <w:rPr>
          <w:rFonts w:ascii="仿宋" w:eastAsia="仿宋" w:hAnsi="仿宋" w:cs="Times New Roman" w:hint="eastAsia"/>
          <w:sz w:val="32"/>
          <w:szCs w:val="32"/>
        </w:rPr>
        <w:t>1040.61</w:t>
      </w:r>
      <w:r w:rsidRPr="00524899">
        <w:rPr>
          <w:rFonts w:ascii="仿宋" w:eastAsia="仿宋" w:hAnsi="仿宋" w:cs="方正仿宋_GBK" w:hint="eastAsia"/>
          <w:sz w:val="32"/>
          <w:szCs w:val="32"/>
        </w:rPr>
        <w:t>万元，主要是工资及补贴上调，相应增加人员经费。日常公用经费</w:t>
      </w:r>
      <w:r w:rsidR="006B1710" w:rsidRPr="00524899">
        <w:rPr>
          <w:rFonts w:ascii="仿宋" w:eastAsia="仿宋" w:hAnsi="仿宋" w:cs="方正仿宋_GBK" w:hint="eastAsia"/>
          <w:sz w:val="32"/>
          <w:szCs w:val="32"/>
        </w:rPr>
        <w:t>增加241.94万元</w:t>
      </w:r>
      <w:r w:rsidR="00207F0F" w:rsidRPr="00524899">
        <w:rPr>
          <w:rFonts w:ascii="仿宋" w:eastAsia="仿宋" w:hAnsi="仿宋" w:cs="方正仿宋_GBK" w:hint="eastAsia"/>
          <w:sz w:val="32"/>
          <w:szCs w:val="32"/>
        </w:rPr>
        <w:t>，主要是公车改革后交通费补贴增加</w:t>
      </w:r>
      <w:r w:rsidRPr="00524899">
        <w:rPr>
          <w:rFonts w:ascii="仿宋" w:eastAsia="仿宋" w:hAnsi="仿宋" w:cs="方正仿宋_GBK" w:hint="eastAsia"/>
          <w:sz w:val="32"/>
          <w:szCs w:val="32"/>
        </w:rPr>
        <w:t>。</w:t>
      </w:r>
    </w:p>
    <w:p w:rsidR="00054DAF" w:rsidRPr="00524899" w:rsidRDefault="00054DAF" w:rsidP="0077313B">
      <w:pPr>
        <w:autoSpaceDE w:val="0"/>
        <w:autoSpaceDN w:val="0"/>
        <w:adjustRightInd w:val="0"/>
        <w:ind w:firstLineChars="200" w:firstLine="640"/>
        <w:jc w:val="left"/>
        <w:rPr>
          <w:rFonts w:ascii="仿宋" w:eastAsia="仿宋" w:hAnsi="仿宋" w:cs="Times New Roman"/>
          <w:sz w:val="32"/>
          <w:szCs w:val="32"/>
        </w:rPr>
      </w:pPr>
      <w:r w:rsidRPr="00524899">
        <w:rPr>
          <w:rFonts w:ascii="仿宋" w:eastAsia="仿宋" w:hAnsi="仿宋" w:cs="黑体" w:hint="eastAsia"/>
          <w:sz w:val="32"/>
          <w:szCs w:val="32"/>
        </w:rPr>
        <w:t>三、机关运行经费安排情况</w:t>
      </w:r>
    </w:p>
    <w:p w:rsidR="00207F0F" w:rsidRPr="00524899" w:rsidRDefault="00207F0F" w:rsidP="00207F0F">
      <w:pPr>
        <w:ind w:firstLine="645"/>
        <w:rPr>
          <w:rFonts w:ascii="仿宋" w:eastAsia="仿宋" w:hAnsi="仿宋"/>
          <w:sz w:val="32"/>
          <w:szCs w:val="32"/>
        </w:rPr>
      </w:pPr>
      <w:r w:rsidRPr="00524899">
        <w:rPr>
          <w:rFonts w:ascii="仿宋" w:eastAsia="仿宋" w:hAnsi="仿宋" w:hint="eastAsia"/>
          <w:sz w:val="32"/>
          <w:szCs w:val="32"/>
        </w:rPr>
        <w:t>2017年，我局各预算单位安排正常公用经费1260.34万元，专项公用经费21318.02万元。</w:t>
      </w:r>
      <w:r w:rsidRPr="00524899">
        <w:rPr>
          <w:rFonts w:ascii="仿宋" w:eastAsia="仿宋" w:hAnsi="仿宋" w:cs="方正仿宋_GBK" w:hint="eastAsia"/>
          <w:sz w:val="32"/>
          <w:szCs w:val="32"/>
        </w:rPr>
        <w:t>主要用于办公及印刷费、日常维修费、办公用房、物业管理费、水电费、办公用房取暖费、车辆运行维护费、专用材料及一般设备购置费。</w:t>
      </w:r>
      <w:r w:rsidRPr="00524899">
        <w:rPr>
          <w:rFonts w:ascii="仿宋" w:eastAsia="仿宋" w:hAnsi="仿宋" w:hint="eastAsia"/>
          <w:sz w:val="32"/>
          <w:szCs w:val="32"/>
        </w:rPr>
        <w:t>明细如下：</w:t>
      </w:r>
    </w:p>
    <w:p w:rsidR="00207F0F" w:rsidRPr="00524899" w:rsidRDefault="00207F0F" w:rsidP="00207F0F">
      <w:pPr>
        <w:ind w:firstLine="645"/>
        <w:rPr>
          <w:rFonts w:ascii="仿宋" w:eastAsia="仿宋" w:hAnsi="仿宋"/>
          <w:sz w:val="32"/>
          <w:szCs w:val="32"/>
        </w:rPr>
      </w:pPr>
      <w:r w:rsidRPr="00524899">
        <w:rPr>
          <w:rFonts w:ascii="仿宋" w:eastAsia="仿宋" w:hAnsi="仿宋" w:hint="eastAsia"/>
          <w:sz w:val="32"/>
          <w:szCs w:val="32"/>
        </w:rPr>
        <w:t>局机关及执法大队：正常公用经费569.81万元，专项公用经费386.89万元。</w:t>
      </w:r>
    </w:p>
    <w:p w:rsidR="00207F0F" w:rsidRPr="00524899" w:rsidRDefault="00207F0F" w:rsidP="00207F0F">
      <w:pPr>
        <w:ind w:firstLine="645"/>
        <w:rPr>
          <w:rFonts w:ascii="仿宋" w:eastAsia="仿宋" w:hAnsi="仿宋"/>
          <w:sz w:val="32"/>
          <w:szCs w:val="32"/>
        </w:rPr>
      </w:pPr>
      <w:r w:rsidRPr="00524899">
        <w:rPr>
          <w:rFonts w:ascii="仿宋" w:eastAsia="仿宋" w:hAnsi="仿宋" w:hint="eastAsia"/>
          <w:sz w:val="32"/>
          <w:szCs w:val="32"/>
        </w:rPr>
        <w:t>数字中心：正常公用经费8.05万元，专项公用经费90.87万元。</w:t>
      </w:r>
    </w:p>
    <w:p w:rsidR="00207F0F" w:rsidRPr="00524899" w:rsidRDefault="00207F0F" w:rsidP="00207F0F">
      <w:pPr>
        <w:ind w:firstLine="645"/>
        <w:rPr>
          <w:rFonts w:ascii="仿宋" w:eastAsia="仿宋" w:hAnsi="仿宋"/>
          <w:sz w:val="32"/>
          <w:szCs w:val="32"/>
        </w:rPr>
      </w:pPr>
      <w:r w:rsidRPr="00524899">
        <w:rPr>
          <w:rFonts w:ascii="仿宋" w:eastAsia="仿宋" w:hAnsi="仿宋" w:hint="eastAsia"/>
          <w:sz w:val="32"/>
          <w:szCs w:val="32"/>
        </w:rPr>
        <w:t>园林局及下属单位：正常公用经费209.19万元，专项公用经费10495.57万元。</w:t>
      </w:r>
    </w:p>
    <w:p w:rsidR="00207F0F" w:rsidRPr="00524899" w:rsidRDefault="00207F0F" w:rsidP="00207F0F">
      <w:pPr>
        <w:ind w:firstLine="645"/>
        <w:rPr>
          <w:rFonts w:ascii="仿宋" w:eastAsia="仿宋" w:hAnsi="仿宋"/>
          <w:sz w:val="32"/>
          <w:szCs w:val="32"/>
        </w:rPr>
      </w:pPr>
      <w:r w:rsidRPr="00524899">
        <w:rPr>
          <w:rFonts w:ascii="仿宋" w:eastAsia="仿宋" w:hAnsi="仿宋" w:hint="eastAsia"/>
          <w:sz w:val="32"/>
          <w:szCs w:val="32"/>
        </w:rPr>
        <w:t>外环处：正常公用经费200.49万元，专项公用经费3256.41万元。</w:t>
      </w:r>
    </w:p>
    <w:p w:rsidR="00207F0F" w:rsidRPr="00524899" w:rsidRDefault="00207F0F" w:rsidP="00207F0F">
      <w:pPr>
        <w:ind w:firstLine="645"/>
        <w:rPr>
          <w:rFonts w:ascii="仿宋" w:eastAsia="仿宋" w:hAnsi="仿宋"/>
          <w:sz w:val="32"/>
          <w:szCs w:val="32"/>
        </w:rPr>
      </w:pPr>
      <w:r w:rsidRPr="00524899">
        <w:rPr>
          <w:rFonts w:ascii="仿宋" w:eastAsia="仿宋" w:hAnsi="仿宋" w:hint="eastAsia"/>
          <w:sz w:val="32"/>
          <w:szCs w:val="32"/>
        </w:rPr>
        <w:t>亮化中心：正常公用经费7.21万元，专项公用经费101.02万元。</w:t>
      </w:r>
    </w:p>
    <w:p w:rsidR="00207F0F" w:rsidRPr="00524899" w:rsidRDefault="00207F0F" w:rsidP="00207F0F">
      <w:pPr>
        <w:autoSpaceDE w:val="0"/>
        <w:autoSpaceDN w:val="0"/>
        <w:adjustRightInd w:val="0"/>
        <w:ind w:firstLineChars="200" w:firstLine="640"/>
        <w:jc w:val="left"/>
        <w:rPr>
          <w:rFonts w:ascii="仿宋" w:eastAsia="仿宋" w:hAnsi="仿宋" w:cs="方正仿宋_GBK"/>
          <w:sz w:val="32"/>
          <w:szCs w:val="32"/>
        </w:rPr>
      </w:pPr>
      <w:r w:rsidRPr="00524899">
        <w:rPr>
          <w:rFonts w:ascii="仿宋" w:eastAsia="仿宋" w:hAnsi="仿宋" w:hint="eastAsia"/>
          <w:sz w:val="32"/>
          <w:szCs w:val="32"/>
        </w:rPr>
        <w:t>市管处及下属单位：正常公用经费:265.59万元，专项公用经费6827.99万元。</w:t>
      </w:r>
    </w:p>
    <w:p w:rsidR="00054DAF" w:rsidRPr="00524899" w:rsidRDefault="00054DAF" w:rsidP="0077313B">
      <w:pPr>
        <w:autoSpaceDE w:val="0"/>
        <w:autoSpaceDN w:val="0"/>
        <w:adjustRightInd w:val="0"/>
        <w:ind w:firstLineChars="200" w:firstLine="640"/>
        <w:jc w:val="left"/>
        <w:rPr>
          <w:rFonts w:ascii="仿宋" w:eastAsia="仿宋" w:hAnsi="仿宋" w:cs="Times New Roman"/>
          <w:sz w:val="32"/>
          <w:szCs w:val="32"/>
        </w:rPr>
      </w:pPr>
      <w:r w:rsidRPr="00524899">
        <w:rPr>
          <w:rFonts w:ascii="仿宋" w:eastAsia="仿宋" w:hAnsi="仿宋" w:cs="黑体" w:hint="eastAsia"/>
          <w:sz w:val="32"/>
          <w:szCs w:val="32"/>
        </w:rPr>
        <w:t>四、财政拨款“三公”经费预算情况及增减变化原因</w:t>
      </w:r>
    </w:p>
    <w:p w:rsidR="00054DAF" w:rsidRPr="00524899" w:rsidRDefault="00054DAF" w:rsidP="0077313B">
      <w:pPr>
        <w:autoSpaceDE w:val="0"/>
        <w:autoSpaceDN w:val="0"/>
        <w:adjustRightInd w:val="0"/>
        <w:ind w:firstLineChars="200" w:firstLine="640"/>
        <w:jc w:val="left"/>
        <w:rPr>
          <w:rFonts w:ascii="仿宋" w:eastAsia="仿宋" w:hAnsi="仿宋" w:cs="Times New Roman"/>
          <w:sz w:val="32"/>
          <w:szCs w:val="32"/>
        </w:rPr>
      </w:pPr>
      <w:r w:rsidRPr="00524899">
        <w:rPr>
          <w:rFonts w:ascii="仿宋" w:eastAsia="仿宋" w:hAnsi="仿宋" w:cs="Times New Roman"/>
          <w:sz w:val="32"/>
          <w:szCs w:val="32"/>
        </w:rPr>
        <w:lastRenderedPageBreak/>
        <w:t>2017</w:t>
      </w:r>
      <w:r w:rsidRPr="00524899">
        <w:rPr>
          <w:rFonts w:ascii="仿宋" w:eastAsia="仿宋" w:hAnsi="仿宋" w:cs="方正仿宋_GBK" w:hint="eastAsia"/>
          <w:sz w:val="32"/>
          <w:szCs w:val="32"/>
        </w:rPr>
        <w:t>年，财政拨款“三公”经费预算安排</w:t>
      </w:r>
      <w:r w:rsidR="00207F0F" w:rsidRPr="00524899">
        <w:rPr>
          <w:rFonts w:ascii="仿宋" w:eastAsia="仿宋" w:hAnsi="仿宋" w:cs="Times New Roman" w:hint="eastAsia"/>
          <w:sz w:val="32"/>
          <w:szCs w:val="32"/>
        </w:rPr>
        <w:t>210.69</w:t>
      </w:r>
      <w:r w:rsidRPr="00524899">
        <w:rPr>
          <w:rFonts w:ascii="仿宋" w:eastAsia="仿宋" w:hAnsi="仿宋" w:cs="方正仿宋_GBK" w:hint="eastAsia"/>
          <w:sz w:val="32"/>
          <w:szCs w:val="32"/>
        </w:rPr>
        <w:t>万元，其中因公出国（境）费</w:t>
      </w:r>
      <w:r w:rsidR="00207F0F" w:rsidRPr="00524899">
        <w:rPr>
          <w:rFonts w:ascii="仿宋" w:eastAsia="仿宋" w:hAnsi="仿宋" w:cs="Times New Roman" w:hint="eastAsia"/>
          <w:sz w:val="32"/>
          <w:szCs w:val="32"/>
        </w:rPr>
        <w:t>0</w:t>
      </w:r>
      <w:r w:rsidRPr="00524899">
        <w:rPr>
          <w:rFonts w:ascii="仿宋" w:eastAsia="仿宋" w:hAnsi="仿宋" w:cs="方正仿宋_GBK" w:hint="eastAsia"/>
          <w:sz w:val="32"/>
          <w:szCs w:val="32"/>
        </w:rPr>
        <w:t>万元；公务用车购置及运维费</w:t>
      </w:r>
      <w:r w:rsidR="00207F0F" w:rsidRPr="00524899">
        <w:rPr>
          <w:rFonts w:ascii="仿宋" w:eastAsia="仿宋" w:hAnsi="仿宋" w:cs="Times New Roman" w:hint="eastAsia"/>
          <w:sz w:val="32"/>
          <w:szCs w:val="32"/>
        </w:rPr>
        <w:t>201.8</w:t>
      </w:r>
      <w:r w:rsidRPr="00524899">
        <w:rPr>
          <w:rFonts w:ascii="仿宋" w:eastAsia="仿宋" w:hAnsi="仿宋" w:cs="方正仿宋_GBK" w:hint="eastAsia"/>
          <w:sz w:val="32"/>
          <w:szCs w:val="32"/>
        </w:rPr>
        <w:t>万元（其中：公务用车购置费为</w:t>
      </w:r>
      <w:r w:rsidRPr="00524899">
        <w:rPr>
          <w:rFonts w:ascii="仿宋" w:eastAsia="仿宋" w:hAnsi="仿宋" w:cs="Times New Roman"/>
          <w:sz w:val="32"/>
          <w:szCs w:val="32"/>
        </w:rPr>
        <w:t>0</w:t>
      </w:r>
      <w:r w:rsidRPr="00524899">
        <w:rPr>
          <w:rFonts w:ascii="仿宋" w:eastAsia="仿宋" w:hAnsi="仿宋" w:cs="方正仿宋_GBK" w:hint="eastAsia"/>
          <w:sz w:val="32"/>
          <w:szCs w:val="32"/>
        </w:rPr>
        <w:t>万元，公务用车运行费</w:t>
      </w:r>
      <w:r w:rsidR="00207F0F" w:rsidRPr="00524899">
        <w:rPr>
          <w:rFonts w:ascii="仿宋" w:eastAsia="仿宋" w:hAnsi="仿宋" w:cs="Times New Roman" w:hint="eastAsia"/>
          <w:sz w:val="32"/>
          <w:szCs w:val="32"/>
        </w:rPr>
        <w:t>201.8</w:t>
      </w:r>
      <w:r w:rsidRPr="00524899">
        <w:rPr>
          <w:rFonts w:ascii="仿宋" w:eastAsia="仿宋" w:hAnsi="仿宋" w:cs="方正仿宋_GBK" w:hint="eastAsia"/>
          <w:sz w:val="32"/>
          <w:szCs w:val="32"/>
        </w:rPr>
        <w:t>万元</w:t>
      </w:r>
      <w:r w:rsidRPr="00524899">
        <w:rPr>
          <w:rFonts w:ascii="仿宋" w:eastAsia="仿宋" w:hAnsi="仿宋" w:cs="Times New Roman"/>
          <w:sz w:val="32"/>
          <w:szCs w:val="32"/>
        </w:rPr>
        <w:t>)</w:t>
      </w:r>
      <w:r w:rsidRPr="00524899">
        <w:rPr>
          <w:rFonts w:ascii="仿宋" w:eastAsia="仿宋" w:hAnsi="仿宋" w:cs="方正仿宋_GBK" w:hint="eastAsia"/>
          <w:sz w:val="32"/>
          <w:szCs w:val="32"/>
        </w:rPr>
        <w:t>；公务接待费</w:t>
      </w:r>
      <w:r w:rsidR="00207F0F" w:rsidRPr="00524899">
        <w:rPr>
          <w:rFonts w:ascii="仿宋" w:eastAsia="仿宋" w:hAnsi="仿宋" w:cs="Times New Roman" w:hint="eastAsia"/>
          <w:sz w:val="32"/>
          <w:szCs w:val="32"/>
        </w:rPr>
        <w:t>8.89</w:t>
      </w:r>
      <w:r w:rsidRPr="00524899">
        <w:rPr>
          <w:rFonts w:ascii="仿宋" w:eastAsia="仿宋" w:hAnsi="仿宋" w:cs="方正仿宋_GBK" w:hint="eastAsia"/>
          <w:sz w:val="32"/>
          <w:szCs w:val="32"/>
        </w:rPr>
        <w:t>万元。与</w:t>
      </w:r>
      <w:r w:rsidRPr="00524899">
        <w:rPr>
          <w:rFonts w:ascii="仿宋" w:eastAsia="仿宋" w:hAnsi="仿宋" w:cs="Times New Roman"/>
          <w:sz w:val="32"/>
          <w:szCs w:val="32"/>
        </w:rPr>
        <w:t>2016</w:t>
      </w:r>
      <w:r w:rsidR="00207F0F" w:rsidRPr="00524899">
        <w:rPr>
          <w:rFonts w:ascii="仿宋" w:eastAsia="仿宋" w:hAnsi="仿宋" w:cs="方正仿宋_GBK" w:hint="eastAsia"/>
          <w:sz w:val="32"/>
          <w:szCs w:val="32"/>
        </w:rPr>
        <w:t>年相比，“三公”经费增加</w:t>
      </w:r>
      <w:r w:rsidR="00207F0F" w:rsidRPr="00524899">
        <w:rPr>
          <w:rFonts w:ascii="仿宋" w:eastAsia="仿宋" w:hAnsi="仿宋" w:cs="Times New Roman" w:hint="eastAsia"/>
          <w:sz w:val="32"/>
          <w:szCs w:val="32"/>
        </w:rPr>
        <w:t>14.73</w:t>
      </w:r>
      <w:r w:rsidR="00207F0F" w:rsidRPr="00524899">
        <w:rPr>
          <w:rFonts w:ascii="仿宋" w:eastAsia="仿宋" w:hAnsi="仿宋" w:cs="方正仿宋_GBK" w:hint="eastAsia"/>
          <w:sz w:val="32"/>
          <w:szCs w:val="32"/>
        </w:rPr>
        <w:t>万元，主要原因：</w:t>
      </w:r>
      <w:r w:rsidRPr="00524899">
        <w:rPr>
          <w:rFonts w:ascii="仿宋" w:eastAsia="仿宋" w:hAnsi="仿宋" w:cs="方正仿宋_GBK" w:hint="eastAsia"/>
          <w:sz w:val="32"/>
          <w:szCs w:val="32"/>
        </w:rPr>
        <w:t>公务用车</w:t>
      </w:r>
      <w:r w:rsidR="00207F0F" w:rsidRPr="00524899">
        <w:rPr>
          <w:rFonts w:ascii="仿宋" w:eastAsia="仿宋" w:hAnsi="仿宋" w:cs="方正仿宋_GBK" w:hint="eastAsia"/>
          <w:sz w:val="32"/>
          <w:szCs w:val="32"/>
        </w:rPr>
        <w:t>改革</w:t>
      </w:r>
      <w:proofErr w:type="gramStart"/>
      <w:r w:rsidR="00207F0F" w:rsidRPr="00524899">
        <w:rPr>
          <w:rFonts w:ascii="仿宋" w:eastAsia="仿宋" w:hAnsi="仿宋" w:cs="方正仿宋_GBK" w:hint="eastAsia"/>
          <w:sz w:val="32"/>
          <w:szCs w:val="32"/>
        </w:rPr>
        <w:t>后执法</w:t>
      </w:r>
      <w:proofErr w:type="gramEnd"/>
      <w:r w:rsidR="00207F0F" w:rsidRPr="00524899">
        <w:rPr>
          <w:rFonts w:ascii="仿宋" w:eastAsia="仿宋" w:hAnsi="仿宋" w:cs="方正仿宋_GBK" w:hint="eastAsia"/>
          <w:sz w:val="32"/>
          <w:szCs w:val="32"/>
        </w:rPr>
        <w:t>车辆重新定编，编制数量增加，相应增加公务用车运行费；</w:t>
      </w:r>
      <w:r w:rsidRPr="00524899">
        <w:rPr>
          <w:rFonts w:ascii="仿宋" w:eastAsia="仿宋" w:hAnsi="仿宋" w:cs="方正仿宋_GBK" w:hint="eastAsia"/>
          <w:sz w:val="32"/>
          <w:szCs w:val="32"/>
        </w:rPr>
        <w:t>公出国（境）费</w:t>
      </w:r>
      <w:r w:rsidR="00207F0F" w:rsidRPr="00524899">
        <w:rPr>
          <w:rFonts w:ascii="仿宋" w:eastAsia="仿宋" w:hAnsi="仿宋" w:cs="方正仿宋_GBK" w:hint="eastAsia"/>
          <w:sz w:val="32"/>
          <w:szCs w:val="32"/>
        </w:rPr>
        <w:t>无增加变化；</w:t>
      </w:r>
      <w:r w:rsidRPr="00524899">
        <w:rPr>
          <w:rFonts w:ascii="仿宋" w:eastAsia="仿宋" w:hAnsi="仿宋" w:cs="方正仿宋_GBK" w:hint="eastAsia"/>
          <w:sz w:val="32"/>
          <w:szCs w:val="32"/>
        </w:rPr>
        <w:t>公务接待费</w:t>
      </w:r>
      <w:r w:rsidR="00207F0F" w:rsidRPr="00524899">
        <w:rPr>
          <w:rFonts w:ascii="仿宋" w:eastAsia="仿宋" w:hAnsi="仿宋" w:cs="方正仿宋_GBK" w:hint="eastAsia"/>
          <w:sz w:val="32"/>
          <w:szCs w:val="32"/>
        </w:rPr>
        <w:t>增加0.23万元，主要是人员经费增加，相应测算的提取定额增加</w:t>
      </w:r>
      <w:r w:rsidRPr="00524899">
        <w:rPr>
          <w:rFonts w:ascii="仿宋" w:eastAsia="仿宋" w:hAnsi="仿宋" w:cs="方正仿宋_GBK" w:hint="eastAsia"/>
          <w:sz w:val="32"/>
          <w:szCs w:val="32"/>
        </w:rPr>
        <w:t>。</w:t>
      </w:r>
    </w:p>
    <w:p w:rsidR="00054DAF" w:rsidRPr="00524899" w:rsidRDefault="00054DAF" w:rsidP="0077313B">
      <w:pPr>
        <w:autoSpaceDE w:val="0"/>
        <w:autoSpaceDN w:val="0"/>
        <w:adjustRightInd w:val="0"/>
        <w:ind w:firstLineChars="200" w:firstLine="640"/>
        <w:jc w:val="left"/>
        <w:rPr>
          <w:rFonts w:ascii="仿宋" w:eastAsia="仿宋" w:hAnsi="仿宋" w:cs="Times New Roman"/>
          <w:sz w:val="32"/>
          <w:szCs w:val="32"/>
        </w:rPr>
      </w:pPr>
      <w:r w:rsidRPr="00524899">
        <w:rPr>
          <w:rFonts w:ascii="仿宋" w:eastAsia="仿宋" w:hAnsi="仿宋" w:cs="黑体" w:hint="eastAsia"/>
          <w:sz w:val="32"/>
          <w:szCs w:val="32"/>
        </w:rPr>
        <w:t>五、绩效预算信息</w:t>
      </w:r>
    </w:p>
    <w:p w:rsidR="007E22E4" w:rsidRPr="00524899" w:rsidRDefault="007E22E4" w:rsidP="00524899">
      <w:pPr>
        <w:ind w:firstLineChars="200" w:firstLine="643"/>
        <w:jc w:val="left"/>
        <w:rPr>
          <w:rFonts w:ascii="仿宋" w:eastAsia="仿宋" w:hAnsi="仿宋" w:cs="方正仿宋_GBK"/>
          <w:b/>
          <w:bCs/>
          <w:sz w:val="32"/>
          <w:szCs w:val="32"/>
        </w:rPr>
      </w:pPr>
      <w:bookmarkStart w:id="0" w:name="_Toc471398463"/>
    </w:p>
    <w:p w:rsidR="00054DAF" w:rsidRPr="00524899" w:rsidRDefault="00054DAF" w:rsidP="00524899">
      <w:pPr>
        <w:ind w:firstLineChars="200" w:firstLine="643"/>
        <w:jc w:val="left"/>
        <w:rPr>
          <w:rFonts w:ascii="仿宋" w:eastAsia="仿宋" w:hAnsi="仿宋" w:cs="Times New Roman"/>
          <w:sz w:val="32"/>
          <w:szCs w:val="32"/>
        </w:rPr>
      </w:pPr>
      <w:r w:rsidRPr="00524899">
        <w:rPr>
          <w:rFonts w:ascii="仿宋" w:eastAsia="仿宋" w:hAnsi="仿宋" w:cs="方正仿宋_GBK" w:hint="eastAsia"/>
          <w:b/>
          <w:bCs/>
          <w:sz w:val="32"/>
          <w:szCs w:val="32"/>
        </w:rPr>
        <w:t>总体绩效目标：</w:t>
      </w:r>
      <w:r w:rsidRPr="00524899">
        <w:rPr>
          <w:rFonts w:ascii="仿宋" w:eastAsia="仿宋" w:hAnsi="仿宋" w:cs="Times New Roman"/>
          <w:sz w:val="32"/>
          <w:szCs w:val="32"/>
        </w:rPr>
        <w:t>2017</w:t>
      </w:r>
      <w:r w:rsidRPr="00524899">
        <w:rPr>
          <w:rFonts w:ascii="仿宋" w:eastAsia="仿宋" w:hAnsi="仿宋" w:cs="方正仿宋_GBK" w:hint="eastAsia"/>
          <w:sz w:val="32"/>
          <w:szCs w:val="32"/>
        </w:rPr>
        <w:t>年是全面实施“十三五”规划的开局之年，是建设经济强省、美丽河北，全面建成小康社会的关键之年。总的要求是：深入学习贯彻习近平总书记系列重要讲话，全面落实党的十八届五中全会、省委八届十二次全会精神，紧紧围绕省委中心工作和全省发展大局，牢牢把握“五个坚持”和“四讲”要求、“三致”标准，高举发展、团结、奋斗旗帜，把马上就办、办就办好作为基本准则，把夙兴夜寐、激情工作作为新的常态，进一步解放思想、奋发作为，创新机制、狠抓落实，确保中央和省</w:t>
      </w:r>
      <w:r w:rsidR="00524899" w:rsidRPr="00524899">
        <w:rPr>
          <w:rFonts w:ascii="仿宋" w:eastAsia="仿宋" w:hAnsi="仿宋" w:cs="方正仿宋_GBK" w:hint="eastAsia"/>
          <w:sz w:val="32"/>
          <w:szCs w:val="32"/>
        </w:rPr>
        <w:t>市</w:t>
      </w:r>
      <w:r w:rsidRPr="00524899">
        <w:rPr>
          <w:rFonts w:ascii="仿宋" w:eastAsia="仿宋" w:hAnsi="仿宋" w:cs="方正仿宋_GBK" w:hint="eastAsia"/>
          <w:sz w:val="32"/>
          <w:szCs w:val="32"/>
        </w:rPr>
        <w:t>委决策部署落地生根，为建设经济强省、美丽河北</w:t>
      </w:r>
      <w:proofErr w:type="gramStart"/>
      <w:r w:rsidRPr="00524899">
        <w:rPr>
          <w:rFonts w:ascii="仿宋" w:eastAsia="仿宋" w:hAnsi="仿宋" w:cs="方正仿宋_GBK" w:hint="eastAsia"/>
          <w:sz w:val="32"/>
          <w:szCs w:val="32"/>
        </w:rPr>
        <w:t>作出</w:t>
      </w:r>
      <w:proofErr w:type="gramEnd"/>
      <w:r w:rsidRPr="00524899">
        <w:rPr>
          <w:rFonts w:ascii="仿宋" w:eastAsia="仿宋" w:hAnsi="仿宋" w:cs="方正仿宋_GBK" w:hint="eastAsia"/>
          <w:sz w:val="32"/>
          <w:szCs w:val="32"/>
        </w:rPr>
        <w:t>新的更大贡献。</w:t>
      </w:r>
    </w:p>
    <w:p w:rsidR="00054DAF" w:rsidRPr="00EE59A1" w:rsidRDefault="00054DAF" w:rsidP="0077313B">
      <w:pPr>
        <w:ind w:firstLineChars="200" w:firstLine="640"/>
        <w:outlineLvl w:val="0"/>
        <w:rPr>
          <w:rFonts w:ascii="方正小标宋_GBK" w:eastAsia="方正小标宋_GBK" w:hAnsi="Times New Roman" w:cs="Times New Roman"/>
          <w:b/>
          <w:bCs/>
          <w:sz w:val="32"/>
          <w:szCs w:val="32"/>
        </w:rPr>
      </w:pPr>
      <w:r w:rsidRPr="00EE59A1">
        <w:rPr>
          <w:rFonts w:ascii="方正小标宋_GBK" w:eastAsia="方正小标宋_GBK" w:hAnsi="Times New Roman" w:cs="方正小标宋_GBK" w:hint="eastAsia"/>
          <w:b/>
          <w:bCs/>
          <w:sz w:val="32"/>
          <w:szCs w:val="32"/>
        </w:rPr>
        <w:lastRenderedPageBreak/>
        <w:t>部门职责及工作活动绩效目标指标：</w:t>
      </w:r>
    </w:p>
    <w:p w:rsidR="007E22E4" w:rsidRPr="00CE1570" w:rsidRDefault="007E22E4" w:rsidP="007E22E4">
      <w:pPr>
        <w:pStyle w:val="a6"/>
      </w:pPr>
      <w:r w:rsidRPr="00FC1D35">
        <w:rPr>
          <w:rFonts w:hint="eastAsia"/>
        </w:rPr>
        <w:t>门</w:t>
      </w:r>
      <w:r>
        <w:rPr>
          <w:rFonts w:hint="eastAsia"/>
        </w:rPr>
        <w:t>职责</w:t>
      </w:r>
      <w:r>
        <w:rPr>
          <w:rFonts w:hint="eastAsia"/>
        </w:rPr>
        <w:t>-</w:t>
      </w:r>
      <w:r>
        <w:rPr>
          <w:rFonts w:hint="eastAsia"/>
        </w:rPr>
        <w:t>工作活动绩效目标</w:t>
      </w:r>
      <w:r w:rsidRPr="00FC1D35">
        <w:rPr>
          <w:rFonts w:hint="eastAsia"/>
          <w:sz w:val="28"/>
        </w:rPr>
        <w:t xml:space="preserve">                      </w:t>
      </w:r>
      <w:r w:rsidRPr="00FC1D35">
        <w:t xml:space="preserve">                                </w:t>
      </w:r>
      <w:r>
        <w:t xml:space="preserve">                </w:t>
      </w:r>
    </w:p>
    <w:tbl>
      <w:tblPr>
        <w:tblW w:w="15670" w:type="dxa"/>
        <w:tblInd w:w="-318" w:type="dxa"/>
        <w:tblLook w:val="04A0" w:firstRow="1" w:lastRow="0" w:firstColumn="1" w:lastColumn="0" w:noHBand="0" w:noVBand="1"/>
      </w:tblPr>
      <w:tblGrid>
        <w:gridCol w:w="1702"/>
        <w:gridCol w:w="1276"/>
        <w:gridCol w:w="3827"/>
        <w:gridCol w:w="2693"/>
        <w:gridCol w:w="1843"/>
        <w:gridCol w:w="1161"/>
        <w:gridCol w:w="1056"/>
        <w:gridCol w:w="1056"/>
        <w:gridCol w:w="1056"/>
      </w:tblGrid>
      <w:tr w:rsidR="007E22E4" w:rsidRPr="00DF16EC" w:rsidTr="007E22E4">
        <w:trPr>
          <w:cantSplit/>
          <w:tblHeader/>
        </w:trPr>
        <w:tc>
          <w:tcPr>
            <w:tcW w:w="9498" w:type="dxa"/>
            <w:gridSpan w:val="4"/>
            <w:shd w:val="clear" w:color="auto" w:fill="auto"/>
            <w:noWrap/>
            <w:vAlign w:val="center"/>
          </w:tcPr>
          <w:p w:rsidR="007E22E4" w:rsidRPr="00DF16EC" w:rsidRDefault="007E22E4" w:rsidP="007E22E4">
            <w:pPr>
              <w:widowControl/>
              <w:jc w:val="left"/>
              <w:rPr>
                <w:rFonts w:ascii="黑体" w:eastAsia="黑体" w:hAnsi="黑体" w:cs="Arial"/>
                <w:b/>
                <w:kern w:val="0"/>
              </w:rPr>
            </w:pPr>
            <w:r>
              <w:rPr>
                <w:rFonts w:ascii="宋体" w:hAnsi="宋体"/>
                <w:sz w:val="28"/>
              </w:rPr>
              <w:t>803唐山市城市管理局</w:t>
            </w:r>
          </w:p>
        </w:tc>
        <w:tc>
          <w:tcPr>
            <w:tcW w:w="6172" w:type="dxa"/>
            <w:gridSpan w:val="5"/>
            <w:shd w:val="clear" w:color="auto" w:fill="auto"/>
            <w:noWrap/>
            <w:vAlign w:val="center"/>
          </w:tcPr>
          <w:p w:rsidR="007E22E4" w:rsidRPr="00DF16EC" w:rsidRDefault="007E22E4" w:rsidP="007E22E4">
            <w:pPr>
              <w:widowControl/>
              <w:jc w:val="right"/>
              <w:rPr>
                <w:rFonts w:ascii="黑体" w:eastAsia="黑体" w:hAnsi="黑体" w:cs="Arial"/>
                <w:b/>
                <w:kern w:val="0"/>
              </w:rPr>
            </w:pPr>
            <w:r w:rsidRPr="00FC1D35">
              <w:rPr>
                <w:rFonts w:ascii="宋体" w:hAnsi="宋体"/>
                <w:sz w:val="24"/>
              </w:rPr>
              <w:t>单位：万元</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702" w:type="dxa"/>
            <w:vMerge w:val="restart"/>
            <w:shd w:val="clear" w:color="auto" w:fill="auto"/>
            <w:noWrap/>
            <w:vAlign w:val="center"/>
          </w:tcPr>
          <w:p w:rsidR="007E22E4" w:rsidRPr="0091385C" w:rsidRDefault="007E22E4" w:rsidP="007E22E4">
            <w:pPr>
              <w:widowControl/>
              <w:jc w:val="center"/>
              <w:rPr>
                <w:rFonts w:ascii="黑体" w:eastAsia="黑体" w:hAnsi="黑体" w:cs="宋体"/>
                <w:b/>
                <w:bCs/>
                <w:color w:val="000000"/>
                <w:kern w:val="0"/>
              </w:rPr>
            </w:pPr>
            <w:r>
              <w:rPr>
                <w:rFonts w:ascii="黑体" w:eastAsia="黑体" w:hAnsi="黑体" w:cs="Arial" w:hint="eastAsia"/>
                <w:b/>
                <w:kern w:val="0"/>
              </w:rPr>
              <w:t>职责活动</w:t>
            </w:r>
          </w:p>
        </w:tc>
        <w:tc>
          <w:tcPr>
            <w:tcW w:w="1276" w:type="dxa"/>
            <w:vMerge w:val="restart"/>
            <w:shd w:val="clear" w:color="auto" w:fill="auto"/>
            <w:noWrap/>
            <w:vAlign w:val="center"/>
          </w:tcPr>
          <w:p w:rsidR="007E22E4" w:rsidRPr="0091385C" w:rsidRDefault="007E22E4" w:rsidP="007E22E4">
            <w:pPr>
              <w:widowControl/>
              <w:jc w:val="center"/>
              <w:rPr>
                <w:rFonts w:ascii="黑体" w:eastAsia="黑体" w:hAnsi="黑体" w:cs="宋体"/>
                <w:b/>
                <w:bCs/>
                <w:color w:val="000000"/>
                <w:kern w:val="0"/>
              </w:rPr>
            </w:pPr>
            <w:r>
              <w:rPr>
                <w:rFonts w:ascii="黑体" w:eastAsia="黑体" w:hAnsi="黑体" w:cs="Arial" w:hint="eastAsia"/>
                <w:b/>
                <w:kern w:val="0"/>
              </w:rPr>
              <w:t>年度预算数</w:t>
            </w:r>
          </w:p>
        </w:tc>
        <w:tc>
          <w:tcPr>
            <w:tcW w:w="3827" w:type="dxa"/>
            <w:vMerge w:val="restart"/>
            <w:shd w:val="clear" w:color="auto" w:fill="auto"/>
            <w:noWrap/>
            <w:vAlign w:val="center"/>
          </w:tcPr>
          <w:p w:rsidR="007E22E4" w:rsidRPr="0091385C" w:rsidRDefault="007E22E4" w:rsidP="007E22E4">
            <w:pPr>
              <w:widowControl/>
              <w:jc w:val="center"/>
              <w:rPr>
                <w:rFonts w:ascii="黑体" w:eastAsia="黑体" w:hAnsi="黑体" w:cs="宋体"/>
                <w:b/>
                <w:bCs/>
                <w:color w:val="000000"/>
                <w:kern w:val="0"/>
              </w:rPr>
            </w:pPr>
            <w:r>
              <w:rPr>
                <w:rFonts w:ascii="黑体" w:eastAsia="黑体" w:hAnsi="黑体" w:cs="Arial" w:hint="eastAsia"/>
                <w:b/>
                <w:kern w:val="0"/>
              </w:rPr>
              <w:t>内容描述</w:t>
            </w:r>
          </w:p>
        </w:tc>
        <w:tc>
          <w:tcPr>
            <w:tcW w:w="2693" w:type="dxa"/>
            <w:vMerge w:val="restart"/>
            <w:shd w:val="clear" w:color="auto" w:fill="auto"/>
            <w:noWrap/>
            <w:vAlign w:val="center"/>
          </w:tcPr>
          <w:p w:rsidR="007E22E4" w:rsidRPr="0091385C" w:rsidRDefault="007E22E4" w:rsidP="007E22E4">
            <w:pPr>
              <w:widowControl/>
              <w:jc w:val="center"/>
              <w:rPr>
                <w:rFonts w:ascii="黑体" w:eastAsia="黑体" w:hAnsi="黑体" w:cs="宋体"/>
                <w:b/>
                <w:bCs/>
                <w:color w:val="000000"/>
                <w:kern w:val="0"/>
              </w:rPr>
            </w:pPr>
            <w:r>
              <w:rPr>
                <w:rFonts w:ascii="黑体" w:eastAsia="黑体" w:hAnsi="黑体" w:cs="Arial" w:hint="eastAsia"/>
                <w:b/>
                <w:kern w:val="0"/>
              </w:rPr>
              <w:t>绩效目标</w:t>
            </w:r>
          </w:p>
        </w:tc>
        <w:tc>
          <w:tcPr>
            <w:tcW w:w="1843" w:type="dxa"/>
            <w:vMerge w:val="restart"/>
            <w:shd w:val="clear" w:color="auto" w:fill="auto"/>
            <w:noWrap/>
            <w:vAlign w:val="center"/>
          </w:tcPr>
          <w:p w:rsidR="007E22E4" w:rsidRPr="0091385C" w:rsidRDefault="007E22E4" w:rsidP="007E22E4">
            <w:pPr>
              <w:widowControl/>
              <w:jc w:val="center"/>
              <w:rPr>
                <w:rFonts w:ascii="黑体" w:eastAsia="黑体" w:hAnsi="黑体" w:cs="宋体"/>
                <w:b/>
                <w:bCs/>
                <w:color w:val="000000"/>
                <w:kern w:val="0"/>
              </w:rPr>
            </w:pPr>
            <w:r>
              <w:rPr>
                <w:rFonts w:ascii="黑体" w:eastAsia="黑体" w:hAnsi="黑体" w:cs="Arial" w:hint="eastAsia"/>
                <w:b/>
                <w:kern w:val="0"/>
              </w:rPr>
              <w:t>绩效指标</w:t>
            </w:r>
          </w:p>
        </w:tc>
        <w:tc>
          <w:tcPr>
            <w:tcW w:w="4329" w:type="dxa"/>
            <w:gridSpan w:val="4"/>
            <w:shd w:val="clear" w:color="auto" w:fill="auto"/>
            <w:noWrap/>
            <w:vAlign w:val="center"/>
          </w:tcPr>
          <w:p w:rsidR="007E22E4" w:rsidRPr="0091385C" w:rsidRDefault="007E22E4" w:rsidP="007E22E4">
            <w:pPr>
              <w:widowControl/>
              <w:jc w:val="center"/>
              <w:rPr>
                <w:rFonts w:ascii="黑体" w:eastAsia="黑体" w:hAnsi="黑体" w:cs="宋体"/>
                <w:b/>
                <w:bCs/>
                <w:color w:val="000000"/>
                <w:kern w:val="0"/>
              </w:rPr>
            </w:pPr>
            <w:r>
              <w:rPr>
                <w:rFonts w:ascii="黑体" w:eastAsia="黑体" w:hAnsi="黑体" w:cs="Arial" w:hint="eastAsia"/>
                <w:b/>
                <w:kern w:val="0"/>
              </w:rPr>
              <w:t>评价标准</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trPr>
        <w:tc>
          <w:tcPr>
            <w:tcW w:w="1702"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1276"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3827"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2693"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1843"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1161" w:type="dxa"/>
            <w:vMerge w:val="restart"/>
            <w:shd w:val="clear" w:color="auto" w:fill="auto"/>
            <w:noWrap/>
            <w:vAlign w:val="center"/>
          </w:tcPr>
          <w:p w:rsidR="007E22E4" w:rsidRPr="009450AF" w:rsidRDefault="007E22E4" w:rsidP="007E22E4">
            <w:pPr>
              <w:widowControl/>
              <w:jc w:val="center"/>
              <w:rPr>
                <w:rFonts w:ascii="黑体" w:eastAsia="黑体" w:hAnsi="黑体" w:cs="宋体"/>
                <w:b/>
                <w:bCs/>
                <w:color w:val="000000"/>
                <w:kern w:val="0"/>
              </w:rPr>
            </w:pPr>
            <w:r>
              <w:rPr>
                <w:rFonts w:ascii="黑体" w:eastAsia="黑体" w:hAnsi="黑体" w:cs="Arial" w:hint="eastAsia"/>
                <w:b/>
                <w:kern w:val="0"/>
              </w:rPr>
              <w:t>优</w:t>
            </w:r>
          </w:p>
        </w:tc>
        <w:tc>
          <w:tcPr>
            <w:tcW w:w="1056" w:type="dxa"/>
            <w:vMerge w:val="restart"/>
            <w:shd w:val="clear" w:color="auto" w:fill="auto"/>
            <w:noWrap/>
            <w:vAlign w:val="center"/>
          </w:tcPr>
          <w:p w:rsidR="007E22E4" w:rsidRPr="009450AF" w:rsidRDefault="007E22E4" w:rsidP="007E22E4">
            <w:pPr>
              <w:widowControl/>
              <w:jc w:val="center"/>
              <w:rPr>
                <w:rFonts w:ascii="黑体" w:eastAsia="黑体" w:hAnsi="黑体" w:cs="宋体"/>
                <w:b/>
                <w:bCs/>
                <w:color w:val="000000"/>
                <w:kern w:val="0"/>
              </w:rPr>
            </w:pPr>
            <w:r>
              <w:rPr>
                <w:rFonts w:ascii="黑体" w:eastAsia="黑体" w:hAnsi="黑体" w:cs="Arial" w:hint="eastAsia"/>
                <w:b/>
                <w:kern w:val="0"/>
              </w:rPr>
              <w:t>良</w:t>
            </w:r>
          </w:p>
        </w:tc>
        <w:tc>
          <w:tcPr>
            <w:tcW w:w="1056" w:type="dxa"/>
            <w:vMerge w:val="restart"/>
            <w:shd w:val="clear" w:color="auto" w:fill="auto"/>
            <w:noWrap/>
            <w:vAlign w:val="center"/>
          </w:tcPr>
          <w:p w:rsidR="007E22E4" w:rsidRPr="009450AF" w:rsidRDefault="007E22E4" w:rsidP="007E22E4">
            <w:pPr>
              <w:widowControl/>
              <w:jc w:val="center"/>
              <w:rPr>
                <w:rFonts w:ascii="黑体" w:eastAsia="黑体" w:hAnsi="黑体" w:cs="宋体"/>
                <w:b/>
                <w:bCs/>
                <w:color w:val="000000"/>
                <w:kern w:val="0"/>
              </w:rPr>
            </w:pPr>
            <w:r>
              <w:rPr>
                <w:rFonts w:ascii="黑体" w:eastAsia="黑体" w:hAnsi="黑体" w:cs="Arial" w:hint="eastAsia"/>
                <w:b/>
                <w:kern w:val="0"/>
              </w:rPr>
              <w:t>中</w:t>
            </w:r>
          </w:p>
        </w:tc>
        <w:tc>
          <w:tcPr>
            <w:tcW w:w="1056" w:type="dxa"/>
            <w:vMerge w:val="restart"/>
            <w:shd w:val="clear" w:color="auto" w:fill="auto"/>
            <w:noWrap/>
            <w:vAlign w:val="center"/>
          </w:tcPr>
          <w:p w:rsidR="007E22E4" w:rsidRPr="009450AF" w:rsidRDefault="007E22E4" w:rsidP="007E22E4">
            <w:pPr>
              <w:widowControl/>
              <w:jc w:val="center"/>
              <w:rPr>
                <w:rFonts w:ascii="黑体" w:eastAsia="黑体" w:hAnsi="黑体" w:cs="宋体"/>
                <w:b/>
                <w:bCs/>
                <w:color w:val="000000"/>
                <w:kern w:val="0"/>
              </w:rPr>
            </w:pPr>
            <w:r>
              <w:rPr>
                <w:rFonts w:ascii="黑体" w:eastAsia="黑体" w:hAnsi="黑体" w:cs="Arial" w:hint="eastAsia"/>
                <w:b/>
                <w:kern w:val="0"/>
              </w:rPr>
              <w:t>差</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trPr>
        <w:tc>
          <w:tcPr>
            <w:tcW w:w="1702"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1276"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3827"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2693"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1843"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1161"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1056"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1056" w:type="dxa"/>
            <w:vMerge/>
            <w:vAlign w:val="center"/>
          </w:tcPr>
          <w:p w:rsidR="007E22E4" w:rsidRPr="009450AF" w:rsidRDefault="007E22E4" w:rsidP="007E22E4">
            <w:pPr>
              <w:widowControl/>
              <w:jc w:val="center"/>
              <w:rPr>
                <w:rFonts w:ascii="黑体" w:eastAsia="黑体" w:hAnsi="黑体" w:cs="宋体"/>
                <w:b/>
                <w:bCs/>
                <w:color w:val="000000"/>
                <w:kern w:val="0"/>
              </w:rPr>
            </w:pPr>
          </w:p>
        </w:tc>
        <w:tc>
          <w:tcPr>
            <w:tcW w:w="1056" w:type="dxa"/>
            <w:vMerge/>
            <w:vAlign w:val="center"/>
          </w:tcPr>
          <w:p w:rsidR="007E22E4" w:rsidRPr="009450AF" w:rsidRDefault="007E22E4" w:rsidP="007E22E4">
            <w:pPr>
              <w:widowControl/>
              <w:jc w:val="center"/>
              <w:rPr>
                <w:rFonts w:ascii="黑体" w:eastAsia="黑体" w:hAnsi="黑体" w:cs="宋体"/>
                <w:b/>
                <w:bCs/>
                <w:color w:val="000000"/>
                <w:kern w:val="0"/>
              </w:rPr>
            </w:pP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trPr>
        <w:tc>
          <w:tcPr>
            <w:tcW w:w="1702" w:type="dxa"/>
            <w:vMerge/>
            <w:shd w:val="clear" w:color="auto" w:fill="auto"/>
            <w:vAlign w:val="center"/>
          </w:tcPr>
          <w:p w:rsidR="007E22E4" w:rsidRPr="009450AF" w:rsidRDefault="007E22E4" w:rsidP="007E22E4">
            <w:pPr>
              <w:widowControl/>
              <w:jc w:val="center"/>
              <w:rPr>
                <w:rFonts w:ascii="宋体" w:hAnsi="宋体" w:cs="宋体"/>
                <w:color w:val="000000"/>
                <w:kern w:val="0"/>
              </w:rPr>
            </w:pPr>
          </w:p>
        </w:tc>
        <w:tc>
          <w:tcPr>
            <w:tcW w:w="1276" w:type="dxa"/>
            <w:vMerge/>
            <w:shd w:val="clear" w:color="auto" w:fill="auto"/>
            <w:vAlign w:val="center"/>
          </w:tcPr>
          <w:p w:rsidR="007E22E4" w:rsidRPr="009450AF" w:rsidRDefault="007E22E4" w:rsidP="007E22E4">
            <w:pPr>
              <w:widowControl/>
              <w:jc w:val="right"/>
              <w:rPr>
                <w:rFonts w:ascii="宋体" w:hAnsi="宋体" w:cs="宋体"/>
                <w:color w:val="000000"/>
                <w:kern w:val="0"/>
              </w:rPr>
            </w:pPr>
          </w:p>
        </w:tc>
        <w:tc>
          <w:tcPr>
            <w:tcW w:w="3827"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2693"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161"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vMerge/>
            <w:shd w:val="clear" w:color="auto" w:fill="auto"/>
            <w:vAlign w:val="center"/>
          </w:tcPr>
          <w:p w:rsidR="007E22E4" w:rsidRPr="009450AF" w:rsidRDefault="007E22E4" w:rsidP="007E22E4">
            <w:pPr>
              <w:widowControl/>
              <w:rPr>
                <w:rFonts w:ascii="宋体" w:hAnsi="宋体" w:cs="宋体"/>
                <w:color w:val="000000"/>
                <w:kern w:val="0"/>
              </w:rPr>
            </w:pP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6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t>城乡建设管理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72744.10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指导城市市政公用设施建设、安全和应急管理；拟定风景名胜区的发展规划、政策并指导实施；拟定村庄和小城镇建设政策并指导实施；指导镇、乡村</w:t>
            </w:r>
            <w:proofErr w:type="gramStart"/>
            <w:r>
              <w:rPr>
                <w:rFonts w:ascii="宋体" w:hAnsi="宋体" w:cs="宋体" w:hint="eastAsia"/>
                <w:color w:val="000000"/>
                <w:kern w:val="0"/>
              </w:rPr>
              <w:t>庄规划</w:t>
            </w:r>
            <w:proofErr w:type="gramEnd"/>
            <w:r>
              <w:rPr>
                <w:rFonts w:ascii="宋体" w:hAnsi="宋体" w:cs="宋体" w:hint="eastAsia"/>
                <w:color w:val="000000"/>
                <w:kern w:val="0"/>
              </w:rPr>
              <w:t>的编制和实施；指导农村住房建设、住房安全和危房改造；改善小城镇和村庄人居环境；</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加强管理，提高城市承载能力和</w:t>
            </w:r>
            <w:proofErr w:type="gramStart"/>
            <w:r>
              <w:rPr>
                <w:rFonts w:ascii="宋体" w:hAnsi="宋体" w:cs="宋体" w:hint="eastAsia"/>
                <w:color w:val="000000"/>
                <w:kern w:val="0"/>
              </w:rPr>
              <w:t>宜居</w:t>
            </w:r>
            <w:proofErr w:type="gramEnd"/>
            <w:r>
              <w:rPr>
                <w:rFonts w:ascii="宋体" w:hAnsi="宋体" w:cs="宋体" w:hint="eastAsia"/>
                <w:color w:val="000000"/>
                <w:kern w:val="0"/>
              </w:rPr>
              <w:t>度。加强村镇建设，改善农村人居环境，实现城乡统筹发展。协调和指导推进城镇化工作，加快城镇化进程。指导城市建设投融资体制改革，破解融资难题。</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3657.00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w:t>
            </w:r>
            <w:proofErr w:type="gramStart"/>
            <w:r>
              <w:rPr>
                <w:rFonts w:ascii="宋体" w:hAnsi="宋体" w:cs="宋体" w:hint="eastAsia"/>
                <w:color w:val="000000"/>
                <w:kern w:val="0"/>
              </w:rPr>
              <w:t>省文件</w:t>
            </w:r>
            <w:proofErr w:type="gramEnd"/>
            <w:r>
              <w:rPr>
                <w:rFonts w:ascii="宋体" w:hAnsi="宋体" w:cs="宋体" w:hint="eastAsia"/>
                <w:color w:val="000000"/>
                <w:kern w:val="0"/>
              </w:rPr>
              <w:t>要求，</w:t>
            </w:r>
            <w:r>
              <w:rPr>
                <w:rFonts w:ascii="宋体" w:hAnsi="宋体" w:cs="宋体"/>
                <w:color w:val="000000"/>
                <w:kern w:val="0"/>
              </w:rPr>
              <w:t>2016年底前完成市区雨水管网养护维修工作，落实养护维修工作制度，确保市区雨水管网养护维修监督体系，确保安全稳定运行。</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2017年12月底以前完成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2018年1月至2月底完成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2018年3月底完成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2018年4月以后完成</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3657.00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w:t>
            </w:r>
            <w:proofErr w:type="gramStart"/>
            <w:r>
              <w:rPr>
                <w:rFonts w:ascii="宋体" w:hAnsi="宋体" w:cs="宋体" w:hint="eastAsia"/>
                <w:color w:val="000000"/>
                <w:kern w:val="0"/>
              </w:rPr>
              <w:t>省文件</w:t>
            </w:r>
            <w:proofErr w:type="gramEnd"/>
            <w:r>
              <w:rPr>
                <w:rFonts w:ascii="宋体" w:hAnsi="宋体" w:cs="宋体" w:hint="eastAsia"/>
                <w:color w:val="000000"/>
                <w:kern w:val="0"/>
              </w:rPr>
              <w:t>要求，</w:t>
            </w:r>
            <w:r>
              <w:rPr>
                <w:rFonts w:ascii="宋体" w:hAnsi="宋体" w:cs="宋体"/>
                <w:color w:val="000000"/>
                <w:kern w:val="0"/>
              </w:rPr>
              <w:t>2016年底前完成市区雨水泵站养护维修工作，落实养护维修工作制度，确保市区雨水泵站养护维修监督体系，确保安全稳定运行。</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2017年12月底以前完成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2018年1月至2月底完成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2018年3月底完成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2018年4月以后完成</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3657.00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w:t>
            </w:r>
            <w:proofErr w:type="gramStart"/>
            <w:r>
              <w:rPr>
                <w:rFonts w:ascii="宋体" w:hAnsi="宋体" w:cs="宋体" w:hint="eastAsia"/>
                <w:color w:val="000000"/>
                <w:kern w:val="0"/>
              </w:rPr>
              <w:t>省文件</w:t>
            </w:r>
            <w:proofErr w:type="gramEnd"/>
            <w:r>
              <w:rPr>
                <w:rFonts w:ascii="宋体" w:hAnsi="宋体" w:cs="宋体" w:hint="eastAsia"/>
                <w:color w:val="000000"/>
                <w:kern w:val="0"/>
              </w:rPr>
              <w:t>要求，</w:t>
            </w:r>
            <w:r>
              <w:rPr>
                <w:rFonts w:ascii="宋体" w:hAnsi="宋体" w:cs="宋体"/>
                <w:color w:val="000000"/>
                <w:kern w:val="0"/>
              </w:rPr>
              <w:t>2016年底前完成市区雨水管网养护维修工作，落实养护维修工作制度，确保市区雨水管网养护维修监督体系，确保安全稳定运行。</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排水设施设施完好率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95%-100%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3657.00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w:t>
            </w:r>
            <w:proofErr w:type="gramStart"/>
            <w:r>
              <w:rPr>
                <w:rFonts w:ascii="宋体" w:hAnsi="宋体" w:cs="宋体" w:hint="eastAsia"/>
                <w:color w:val="000000"/>
                <w:kern w:val="0"/>
              </w:rPr>
              <w:t>省文件</w:t>
            </w:r>
            <w:proofErr w:type="gramEnd"/>
            <w:r>
              <w:rPr>
                <w:rFonts w:ascii="宋体" w:hAnsi="宋体" w:cs="宋体" w:hint="eastAsia"/>
                <w:color w:val="000000"/>
                <w:kern w:val="0"/>
              </w:rPr>
              <w:t>要求，</w:t>
            </w:r>
            <w:r>
              <w:rPr>
                <w:rFonts w:ascii="宋体" w:hAnsi="宋体" w:cs="宋体"/>
                <w:color w:val="000000"/>
                <w:kern w:val="0"/>
              </w:rPr>
              <w:t>2016年底前完成市区雨水泵站养护维修工作，落实养护维修工作制度，确保市区雨水泵站养护维修监督体系，确保安全稳定运行。</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养护维修成本</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1173万元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1200万元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13000万元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超过</w:t>
            </w:r>
            <w:r>
              <w:rPr>
                <w:rFonts w:ascii="宋体" w:hAnsi="宋体" w:cs="宋体"/>
                <w:color w:val="000000"/>
                <w:kern w:val="0"/>
              </w:rPr>
              <w:t>13000万元</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3657.00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w:t>
            </w:r>
            <w:proofErr w:type="gramStart"/>
            <w:r>
              <w:rPr>
                <w:rFonts w:ascii="宋体" w:hAnsi="宋体" w:cs="宋体" w:hint="eastAsia"/>
                <w:color w:val="000000"/>
                <w:kern w:val="0"/>
              </w:rPr>
              <w:t>省文件</w:t>
            </w:r>
            <w:proofErr w:type="gramEnd"/>
            <w:r>
              <w:rPr>
                <w:rFonts w:ascii="宋体" w:hAnsi="宋体" w:cs="宋体" w:hint="eastAsia"/>
                <w:color w:val="000000"/>
                <w:kern w:val="0"/>
              </w:rPr>
              <w:t>要求，</w:t>
            </w:r>
            <w:r>
              <w:rPr>
                <w:rFonts w:ascii="宋体" w:hAnsi="宋体" w:cs="宋体"/>
                <w:color w:val="000000"/>
                <w:kern w:val="0"/>
              </w:rPr>
              <w:t>2016年底前完成市区雨水管网养护维修工作，落实养护维修工作制度，确保市区雨水管网养护维修监督体系，确保安全稳定运行。</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养护维修雨水管网里程。</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537-471公里</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420公里以上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350公里以上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350公里以下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3657.00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w:t>
            </w:r>
            <w:proofErr w:type="gramStart"/>
            <w:r>
              <w:rPr>
                <w:rFonts w:ascii="宋体" w:hAnsi="宋体" w:cs="宋体" w:hint="eastAsia"/>
                <w:color w:val="000000"/>
                <w:kern w:val="0"/>
              </w:rPr>
              <w:t>省文件</w:t>
            </w:r>
            <w:proofErr w:type="gramEnd"/>
            <w:r>
              <w:rPr>
                <w:rFonts w:ascii="宋体" w:hAnsi="宋体" w:cs="宋体" w:hint="eastAsia"/>
                <w:color w:val="000000"/>
                <w:kern w:val="0"/>
              </w:rPr>
              <w:t>要求，</w:t>
            </w:r>
            <w:r>
              <w:rPr>
                <w:rFonts w:ascii="宋体" w:hAnsi="宋体" w:cs="宋体"/>
                <w:color w:val="000000"/>
                <w:kern w:val="0"/>
              </w:rPr>
              <w:t>2016年底前完成市区雨水管网养护维修工作，落实养护维修工作制度，确保市区雨水管网养护维修监督体系，确保安全稳定运行。</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养护维修成本。</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2484万元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2500万元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2550万元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超过</w:t>
            </w:r>
            <w:r>
              <w:rPr>
                <w:rFonts w:ascii="宋体" w:hAnsi="宋体" w:cs="宋体"/>
                <w:color w:val="000000"/>
                <w:kern w:val="0"/>
              </w:rPr>
              <w:t>2550万元</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3657.00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w:t>
            </w:r>
            <w:proofErr w:type="gramStart"/>
            <w:r>
              <w:rPr>
                <w:rFonts w:ascii="宋体" w:hAnsi="宋体" w:cs="宋体" w:hint="eastAsia"/>
                <w:color w:val="000000"/>
                <w:kern w:val="0"/>
              </w:rPr>
              <w:t>省文件</w:t>
            </w:r>
            <w:proofErr w:type="gramEnd"/>
            <w:r>
              <w:rPr>
                <w:rFonts w:ascii="宋体" w:hAnsi="宋体" w:cs="宋体" w:hint="eastAsia"/>
                <w:color w:val="000000"/>
                <w:kern w:val="0"/>
              </w:rPr>
              <w:t>要求，</w:t>
            </w:r>
            <w:r>
              <w:rPr>
                <w:rFonts w:ascii="宋体" w:hAnsi="宋体" w:cs="宋体"/>
                <w:color w:val="000000"/>
                <w:kern w:val="0"/>
              </w:rPr>
              <w:t>2016年底前完成市区雨水泵站养护维修工作，落实养护维修工作制度，确保市区雨水泵站养护维修监督体系，确保安全稳定运行。</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泵站</w:t>
            </w:r>
            <w:proofErr w:type="gramStart"/>
            <w:r>
              <w:rPr>
                <w:rFonts w:ascii="宋体" w:hAnsi="宋体" w:cs="宋体" w:hint="eastAsia"/>
                <w:color w:val="000000"/>
                <w:kern w:val="0"/>
              </w:rPr>
              <w:t>设施设施</w:t>
            </w:r>
            <w:proofErr w:type="gramEnd"/>
            <w:r>
              <w:rPr>
                <w:rFonts w:ascii="宋体" w:hAnsi="宋体" w:cs="宋体" w:hint="eastAsia"/>
                <w:color w:val="000000"/>
                <w:kern w:val="0"/>
              </w:rPr>
              <w:t>完好率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3657.00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w:t>
            </w:r>
            <w:proofErr w:type="gramStart"/>
            <w:r>
              <w:rPr>
                <w:rFonts w:ascii="宋体" w:hAnsi="宋体" w:cs="宋体" w:hint="eastAsia"/>
                <w:color w:val="000000"/>
                <w:kern w:val="0"/>
              </w:rPr>
              <w:t>省文件</w:t>
            </w:r>
            <w:proofErr w:type="gramEnd"/>
            <w:r>
              <w:rPr>
                <w:rFonts w:ascii="宋体" w:hAnsi="宋体" w:cs="宋体" w:hint="eastAsia"/>
                <w:color w:val="000000"/>
                <w:kern w:val="0"/>
              </w:rPr>
              <w:t>要求，</w:t>
            </w:r>
            <w:r>
              <w:rPr>
                <w:rFonts w:ascii="宋体" w:hAnsi="宋体" w:cs="宋体"/>
                <w:color w:val="000000"/>
                <w:kern w:val="0"/>
              </w:rPr>
              <w:t>2016年底前完成市区雨水泵站养护维修工作，落实养护维修工作制度，确保市区雨水泵站养护维修监督体系，确保安全稳定运行。</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养护维修座数</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7-9座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6-7座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5座以下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7500万公里以上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6500万公里-7500万公里</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5500万公里-6500万公里</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5500万公里以下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2017年12月31日之前</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2017年12月31日之后</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承担政府指令性</w:t>
            </w:r>
            <w:r>
              <w:rPr>
                <w:rFonts w:ascii="宋体" w:hAnsi="宋体" w:cs="宋体"/>
                <w:color w:val="000000"/>
                <w:kern w:val="0"/>
              </w:rPr>
              <w:t>70周岁以上老年人、离休老干部、残疾人（盲残）、革命伤残军人、革命伤残警察、现役军人（节假日）等免费乘车以及学生和成人持月票乘车任务，承担社会福利，担负公交公益性职能</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1000万人次以上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900万人次-1000万人次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800万人次-900万人次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800万人次以下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15000万人次以上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10000万人次-15000万人次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5000万人次-10000万人次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5000万人次以下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84%以上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74%-84%</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64%-74%</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64%以下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保障公交更好地为百姓提供经济、安全、舒适、便捷的出行服务，提高百姓对政府的满意度</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75%-85%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65%-75%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65%以下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r>
              <w:rPr>
                <w:rFonts w:ascii="宋体" w:hAnsi="宋体" w:cs="宋体"/>
                <w:color w:val="000000"/>
                <w:kern w:val="0"/>
              </w:rPr>
              <w:t>120万公里/起</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r>
              <w:rPr>
                <w:rFonts w:ascii="宋体" w:hAnsi="宋体" w:cs="宋体"/>
                <w:color w:val="000000"/>
                <w:kern w:val="0"/>
              </w:rPr>
              <w:t>100万公里/起</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r>
              <w:rPr>
                <w:rFonts w:ascii="宋体" w:hAnsi="宋体" w:cs="宋体"/>
                <w:color w:val="000000"/>
                <w:kern w:val="0"/>
              </w:rPr>
              <w:t>80万公里/起</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r>
              <w:rPr>
                <w:rFonts w:ascii="宋体" w:hAnsi="宋体" w:cs="宋体"/>
                <w:color w:val="000000"/>
                <w:kern w:val="0"/>
              </w:rPr>
              <w:t>60万公里/起</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承担政府指令性</w:t>
            </w:r>
            <w:r>
              <w:rPr>
                <w:rFonts w:ascii="宋体" w:hAnsi="宋体" w:cs="宋体"/>
                <w:color w:val="000000"/>
                <w:kern w:val="0"/>
              </w:rPr>
              <w:t>70周岁以上老年人、离休老干部、残疾人（盲残）、革命伤残军人、革命伤残警察、现役军人（节假日）等免费乘车以及学生和成人持月票乘车任务，承担社会福利，担负公交公益性职能</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7000万人次以上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6500万人次-7000万人次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6000万人次-6500万人次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6000万人次以下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公交政策性亏损补贴金额</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不超过</w:t>
            </w:r>
            <w:r>
              <w:rPr>
                <w:rFonts w:ascii="宋体" w:hAnsi="宋体" w:cs="宋体"/>
                <w:color w:val="000000"/>
                <w:kern w:val="0"/>
              </w:rPr>
              <w:t>1100万元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超过</w:t>
            </w:r>
            <w:r>
              <w:rPr>
                <w:rFonts w:ascii="宋体" w:hAnsi="宋体" w:cs="宋体"/>
                <w:color w:val="000000"/>
                <w:kern w:val="0"/>
              </w:rPr>
              <w:t>1100万元</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75%-85%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65%-75%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65%以下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995.00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proofErr w:type="gramStart"/>
            <w:r>
              <w:rPr>
                <w:rFonts w:ascii="宋体" w:hAnsi="宋体" w:cs="宋体" w:hint="eastAsia"/>
                <w:color w:val="000000"/>
                <w:kern w:val="0"/>
              </w:rPr>
              <w:t>万公里</w:t>
            </w:r>
            <w:proofErr w:type="gramEnd"/>
            <w:r>
              <w:rPr>
                <w:rFonts w:ascii="宋体" w:hAnsi="宋体" w:cs="宋体"/>
                <w:color w:val="000000"/>
                <w:kern w:val="0"/>
              </w:rPr>
              <w:t>/起）</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120以上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995.00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75%-85%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65%-75%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65%以下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995.00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保障公交更好地为百姓提供经济、安全、舒适、便捷的出行服务，提高百姓对政府的满意度</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2016年12月31日之前</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2016年12月31日之后</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995.00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8000万公里以上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7000万公里-8000万公里</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6000万公里-7000万公里</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60000万公里以下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995.00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承担政府指令性</w:t>
            </w:r>
            <w:r>
              <w:rPr>
                <w:rFonts w:ascii="宋体" w:hAnsi="宋体" w:cs="宋体"/>
                <w:color w:val="000000"/>
                <w:kern w:val="0"/>
              </w:rPr>
              <w:t>70周岁以上老年人、离休老干部、残疾人（盲残）、革命伤残军人、革命伤残警察、现役军人（节假日）等免费乘车以及学生和成人持月票乘车任务，承担社会福利，担负公交公益性职能</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1000万人次以上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900万人次-1000万人次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800万人次-900万人次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800万人次以下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995.00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15000万人次以上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10000万人次-15000万人次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5000万人次-10000万人次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5000万人次以下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995.00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承担政府指令性</w:t>
            </w:r>
            <w:r>
              <w:rPr>
                <w:rFonts w:ascii="宋体" w:hAnsi="宋体" w:cs="宋体"/>
                <w:color w:val="000000"/>
                <w:kern w:val="0"/>
              </w:rPr>
              <w:t>70周岁以上老年人、离休老干部、残疾人（盲残）、革命伤残军人、革命伤残警察、现役军人（节假日）等免费乘车以及学生和成人持月票乘车任务，承担社会福利，担负公交公益性职能</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政策性亏损缺口融资利息</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不超过</w:t>
            </w:r>
            <w:r>
              <w:rPr>
                <w:rFonts w:ascii="宋体" w:hAnsi="宋体" w:cs="宋体"/>
                <w:color w:val="000000"/>
                <w:kern w:val="0"/>
              </w:rPr>
              <w:t>1300万元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超过</w:t>
            </w:r>
            <w:r>
              <w:rPr>
                <w:rFonts w:ascii="宋体" w:hAnsi="宋体" w:cs="宋体"/>
                <w:color w:val="000000"/>
                <w:kern w:val="0"/>
              </w:rPr>
              <w:t>1300万元</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995.00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84%以上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74%-84%</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64%-74%</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64%以下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995.00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保障公交更好地为百姓提供经济、安全、舒适、便捷的出行服务，提高百姓对政府的满意度</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75%-85%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65%-75%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65%以下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995.00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承担政府指令性</w:t>
            </w:r>
            <w:r>
              <w:rPr>
                <w:rFonts w:ascii="宋体" w:hAnsi="宋体" w:cs="宋体"/>
                <w:color w:val="000000"/>
                <w:kern w:val="0"/>
              </w:rPr>
              <w:t>70周岁以上老年人、离休老干部、残疾人（盲残）、革命伤残军人、革命伤残警察、现役军人（节假日）等免费乘车以及学生和成人持月票乘车任务，承担社会福利，担负公交公益性职能</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7000万人次以上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6500万人次-7000万人次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6000万人次-6500万人次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6000万人次以下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18608.35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承担政府指令性</w:t>
            </w:r>
            <w:r>
              <w:rPr>
                <w:rFonts w:ascii="宋体" w:hAnsi="宋体" w:cs="宋体"/>
                <w:color w:val="000000"/>
                <w:kern w:val="0"/>
              </w:rPr>
              <w:t>70周岁以上老年人、离休老干部、残疾人（盲残）、革命伤残军人、革命伤残警察、现役军人（节假日）等免费乘车以及学生和成人持月票乘车任务，承担社会福利，担负公交公益性职能</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7000万人次以上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6500万人次-7000万人次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6000万人次-6500万人次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年月票优惠运送乘客</w:t>
            </w:r>
            <w:r>
              <w:rPr>
                <w:rFonts w:ascii="宋体" w:hAnsi="宋体" w:cs="宋体"/>
                <w:color w:val="000000"/>
                <w:kern w:val="0"/>
              </w:rPr>
              <w:t>6000万人次以下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18608.35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8000万公里以上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7000万公里-8000万公里</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6000万公里-7000万公里</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年运营里程</w:t>
            </w:r>
            <w:r>
              <w:rPr>
                <w:rFonts w:ascii="宋体" w:hAnsi="宋体" w:cs="宋体"/>
                <w:color w:val="000000"/>
                <w:kern w:val="0"/>
              </w:rPr>
              <w:t>6000万公里以下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18608.35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2017年12月31日之前</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2017年12月31日之后</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18608.35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r>
              <w:rPr>
                <w:rFonts w:ascii="宋体" w:hAnsi="宋体" w:cs="宋体"/>
                <w:color w:val="000000"/>
                <w:kern w:val="0"/>
              </w:rPr>
              <w:t>120万公里/起</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r>
              <w:rPr>
                <w:rFonts w:ascii="宋体" w:hAnsi="宋体" w:cs="宋体"/>
                <w:color w:val="000000"/>
                <w:kern w:val="0"/>
              </w:rPr>
              <w:t>100万公里/起</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r>
              <w:rPr>
                <w:rFonts w:ascii="宋体" w:hAnsi="宋体" w:cs="宋体"/>
                <w:color w:val="000000"/>
                <w:kern w:val="0"/>
              </w:rPr>
              <w:t>80万公里/起</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行车责任事故间隔里程</w:t>
            </w:r>
            <w:r>
              <w:rPr>
                <w:rFonts w:ascii="宋体" w:hAnsi="宋体" w:cs="宋体"/>
                <w:color w:val="000000"/>
                <w:kern w:val="0"/>
              </w:rPr>
              <w:t>60万公里/起</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18608.35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84%以上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74%-84%</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64%74%</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正班率</w:t>
            </w:r>
            <w:r>
              <w:rPr>
                <w:rFonts w:ascii="宋体" w:hAnsi="宋体" w:cs="宋体"/>
                <w:color w:val="000000"/>
                <w:kern w:val="0"/>
              </w:rPr>
              <w:t>64%以下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18608.35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75%-85%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65%-75%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完好车率</w:t>
            </w:r>
            <w:r>
              <w:rPr>
                <w:rFonts w:ascii="宋体" w:hAnsi="宋体" w:cs="宋体"/>
                <w:color w:val="000000"/>
                <w:kern w:val="0"/>
              </w:rPr>
              <w:t>65%以下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18608.35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公交购车及购车贷款还本付息补贴</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不超过</w:t>
            </w:r>
            <w:r>
              <w:rPr>
                <w:rFonts w:ascii="宋体" w:hAnsi="宋体" w:cs="宋体"/>
                <w:color w:val="000000"/>
                <w:kern w:val="0"/>
              </w:rPr>
              <w:t>18608.35万元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超过</w:t>
            </w:r>
            <w:r>
              <w:rPr>
                <w:rFonts w:ascii="宋体" w:hAnsi="宋体" w:cs="宋体"/>
                <w:color w:val="000000"/>
                <w:kern w:val="0"/>
              </w:rPr>
              <w:t>18608.35万元</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18608.35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承担政府指令性</w:t>
            </w:r>
            <w:r>
              <w:rPr>
                <w:rFonts w:ascii="宋体" w:hAnsi="宋体" w:cs="宋体"/>
                <w:color w:val="000000"/>
                <w:kern w:val="0"/>
              </w:rPr>
              <w:t>70周岁以上老年人、离休老干部、残疾人（盲残）、革命伤残军人、革命伤残警察、现役军人（节假日）等免费乘车以及学生和成人持月票乘车任务，承担社会福利，担负公交公益性职能</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1000万人次以上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900万人次-1000万人次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800万人次-900万人次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年免费运送乘客</w:t>
            </w:r>
            <w:r>
              <w:rPr>
                <w:rFonts w:ascii="宋体" w:hAnsi="宋体" w:cs="宋体"/>
                <w:color w:val="000000"/>
                <w:kern w:val="0"/>
              </w:rPr>
              <w:t>800万人次以下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18608.35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承担政府指令性</w:t>
            </w:r>
            <w:r>
              <w:rPr>
                <w:rFonts w:ascii="宋体" w:hAnsi="宋体" w:cs="宋体"/>
                <w:color w:val="000000"/>
                <w:kern w:val="0"/>
              </w:rPr>
              <w:t>70周岁以上老年人、离休老干部、残疾人（盲残）、革命伤残军人、革命伤残警察、现役军人（节假日）等免费乘车以及学生和成人持月票乘车任务，承担社会福利，担负公交公益性职能</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85%</w:t>
            </w:r>
            <w:proofErr w:type="gramStart"/>
            <w:r>
              <w:rPr>
                <w:rFonts w:ascii="宋体" w:hAnsi="宋体" w:cs="宋体"/>
                <w:color w:val="000000"/>
                <w:kern w:val="0"/>
              </w:rPr>
              <w:t>以上以上</w:t>
            </w:r>
            <w:proofErr w:type="gramEnd"/>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75%-85%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65%-75%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百姓满意度</w:t>
            </w:r>
            <w:r>
              <w:rPr>
                <w:rFonts w:ascii="宋体" w:hAnsi="宋体" w:cs="宋体"/>
                <w:color w:val="000000"/>
                <w:kern w:val="0"/>
              </w:rPr>
              <w:t>65%以下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18608.35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公交能够</w:t>
            </w:r>
            <w:proofErr w:type="gramEnd"/>
            <w:r>
              <w:rPr>
                <w:rFonts w:ascii="宋体" w:hAnsi="宋体" w:cs="宋体" w:hint="eastAsia"/>
                <w:color w:val="000000"/>
                <w:kern w:val="0"/>
              </w:rPr>
              <w:t>得以持续、稳定、健康地发展，保障公交更好地为百姓提供经济、安全、舒适、便捷的出行服务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15000万人次以上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10000万人15000万人次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5000万人次-10000万人次</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年客运量</w:t>
            </w:r>
            <w:r>
              <w:rPr>
                <w:rFonts w:ascii="宋体" w:hAnsi="宋体" w:cs="宋体"/>
                <w:color w:val="000000"/>
                <w:kern w:val="0"/>
              </w:rPr>
              <w:t>5000万人次以下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50.00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在</w:t>
            </w:r>
            <w:r>
              <w:rPr>
                <w:rFonts w:ascii="宋体" w:hAnsi="宋体" w:cs="宋体"/>
                <w:color w:val="000000"/>
                <w:kern w:val="0"/>
              </w:rPr>
              <w:t>2016年全年期间完成消防栓维修维护任务</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2016年12月31日以前</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2017年1月1日以后</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50.00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加强巡视检查力度，保障消防栓坏损率减少到</w:t>
            </w:r>
            <w:r>
              <w:rPr>
                <w:rFonts w:ascii="宋体" w:hAnsi="宋体" w:cs="宋体"/>
                <w:color w:val="000000"/>
                <w:kern w:val="0"/>
              </w:rPr>
              <w:t>40%以内</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消防栓坏损控制率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20%以内</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20%—30%之间</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31%—40%之间</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超过</w:t>
            </w:r>
            <w:r>
              <w:rPr>
                <w:rFonts w:ascii="宋体" w:hAnsi="宋体" w:cs="宋体"/>
                <w:color w:val="000000"/>
                <w:kern w:val="0"/>
              </w:rPr>
              <w:t>40%</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50.00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损害的消防栓确保及时维修维护，</w:t>
            </w:r>
            <w:r>
              <w:rPr>
                <w:rFonts w:ascii="宋体" w:hAnsi="宋体" w:cs="宋体"/>
                <w:color w:val="000000"/>
                <w:kern w:val="0"/>
              </w:rPr>
              <w:t>3天内达到可正常使用状态。</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消防栓维修及时率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24小时内</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24小时—48小时之间</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48小时—72小时之间</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超过</w:t>
            </w:r>
            <w:r>
              <w:rPr>
                <w:rFonts w:ascii="宋体" w:hAnsi="宋体" w:cs="宋体"/>
                <w:color w:val="000000"/>
                <w:kern w:val="0"/>
              </w:rPr>
              <w:t>72小时</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50.00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消防栓维修维护市财政补贴不超过</w:t>
            </w:r>
            <w:r>
              <w:rPr>
                <w:rFonts w:ascii="宋体" w:hAnsi="宋体" w:cs="宋体"/>
                <w:color w:val="000000"/>
                <w:kern w:val="0"/>
              </w:rPr>
              <w:t>50万元</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消防栓成本补贴</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50万元以下</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50万元以上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按照国家、省市文件要求，</w:t>
            </w:r>
            <w:r>
              <w:rPr>
                <w:rFonts w:ascii="宋体" w:hAnsi="宋体" w:cs="宋体"/>
                <w:color w:val="000000"/>
                <w:kern w:val="0"/>
              </w:rPr>
              <w:t>2016年汛期完成雨水设施的维修、改造工作。</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维修改造时限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2017年5月底前</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2017年6月初至7月底</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2017年8月初至9月底</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2017年9月底以后</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按照国家、省市文件要求，</w:t>
            </w:r>
            <w:r>
              <w:rPr>
                <w:rFonts w:ascii="宋体" w:hAnsi="宋体" w:cs="宋体"/>
                <w:color w:val="000000"/>
                <w:kern w:val="0"/>
              </w:rPr>
              <w:t>2016年汛期完成雨水设施的维修、改造工作。</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维修改造工程量</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35项</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30-34项</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33-28项</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28项以下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按照国家、省市文件要求，</w:t>
            </w:r>
            <w:r>
              <w:rPr>
                <w:rFonts w:ascii="宋体" w:hAnsi="宋体" w:cs="宋体"/>
                <w:color w:val="000000"/>
                <w:kern w:val="0"/>
              </w:rPr>
              <w:t>2016年汛期完成雨水设施的维修、改造工作。</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维修、改造成本</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300万元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超出</w:t>
            </w:r>
            <w:r>
              <w:rPr>
                <w:rFonts w:ascii="宋体" w:hAnsi="宋体" w:cs="宋体"/>
                <w:color w:val="000000"/>
                <w:kern w:val="0"/>
              </w:rPr>
              <w:t>300万元</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按照国家、省市文件要求，</w:t>
            </w:r>
            <w:r>
              <w:rPr>
                <w:rFonts w:ascii="宋体" w:hAnsi="宋体" w:cs="宋体"/>
                <w:color w:val="000000"/>
                <w:kern w:val="0"/>
              </w:rPr>
              <w:t>2016年汛期完成雨水设施的维修、改造工作。</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排水设施设施完好率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95%-100%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90%-94%</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89%-85%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3800.00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安全度汛</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安全度汛</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长时间积水</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3800.00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完成投资额情况</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90-99%</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80-89%</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3800.00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完成泵站的建设工作</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90-99%%</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80%-89%</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134.00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完成投资额情况</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134万元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134万元以上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134.00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134.00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完成对建华道雨水管网改造工程</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16座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15座以下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134.00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完成对建华道雨水管网的改造工程。</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200米</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190米以下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2017年投资额度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340万</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340万以下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排水设备购置数量</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2台</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1台以下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2018年及以后</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排水设备购置标准</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省级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不足省级</w:t>
            </w:r>
            <w:proofErr w:type="gramEnd"/>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安装检测系统泵站数量</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9座以下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保障立交桥排水正常</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9座以下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168.00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完成投资额情况</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168万元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168万元以上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168.00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2017年汛期完成雨水管网改造工程</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280米</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260米以下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168.00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168.00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2017年年汛期完成雨水管网改造工程</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18座以下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379.50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汛期积水</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无积水</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严重积水</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379.50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安全通行</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安全通行</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影响交通</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379.50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2017年汛期完成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2017年6月底</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2017年8月底</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2017年9月底</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2017年10月底</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260.00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260.00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完成雨水收水井改造的建设工作</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650座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630座以下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260.00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完成年度投资额情况</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260万元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260万元以上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15000.00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污泥处置量</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10万吨</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9万吨</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8万吨</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7万吨</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15000.00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污水泵站设施完好率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98%—100%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90%—97%</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80%—89%</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15000.00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污泥处置</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70%</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15000.00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污水管网设施完好率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98%-100%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90%-97%</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80%-89%</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15000.00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污水处理量</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14000万吨</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13000万吨</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12000万吨</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11000万吨</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15000.00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出水水质</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一级</w:t>
            </w:r>
            <w:r>
              <w:rPr>
                <w:rFonts w:ascii="宋体" w:hAnsi="宋体" w:cs="宋体"/>
                <w:color w:val="000000"/>
                <w:kern w:val="0"/>
              </w:rPr>
              <w:t>A</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一级</w:t>
            </w:r>
            <w:r>
              <w:rPr>
                <w:rFonts w:ascii="宋体" w:hAnsi="宋体" w:cs="宋体"/>
                <w:color w:val="000000"/>
                <w:kern w:val="0"/>
              </w:rPr>
              <w:t>B</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二级标准</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二级以下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15000.00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污水处理设施稳定运行</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2069.00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2016年按贷款合同规定每年5月、11</w:t>
            </w:r>
            <w:proofErr w:type="gramStart"/>
            <w:r>
              <w:rPr>
                <w:rFonts w:ascii="宋体" w:hAnsi="宋体" w:cs="宋体"/>
                <w:color w:val="000000"/>
                <w:kern w:val="0"/>
              </w:rPr>
              <w:t>月分</w:t>
            </w:r>
            <w:proofErr w:type="gramEnd"/>
            <w:r>
              <w:rPr>
                <w:rFonts w:ascii="宋体" w:hAnsi="宋体" w:cs="宋体"/>
                <w:color w:val="000000"/>
                <w:kern w:val="0"/>
              </w:rPr>
              <w:t>两次偿还本金，利息按季度进行偿还</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偿还时限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2017年按合同规定按时偿还</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2017年未按合同规定按时偿还</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2069.00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由市政环卫处组织建设西南环线工程，由我处公路收费权质押贷款</w:t>
            </w:r>
            <w:r>
              <w:rPr>
                <w:rFonts w:ascii="宋体" w:hAnsi="宋体" w:cs="宋体"/>
                <w:color w:val="000000"/>
                <w:kern w:val="0"/>
              </w:rPr>
              <w:t>12000万元，由我处分五年还清。2016年偿还本息4120万元。</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偿还总</w:t>
            </w:r>
            <w:proofErr w:type="gramEnd"/>
            <w:r>
              <w:rPr>
                <w:rFonts w:ascii="宋体" w:hAnsi="宋体" w:cs="宋体" w:hint="eastAsia"/>
                <w:color w:val="000000"/>
                <w:kern w:val="0"/>
              </w:rPr>
              <w:t>金额</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全年偿还全部贷款本金利息共</w:t>
            </w:r>
            <w:r>
              <w:rPr>
                <w:rFonts w:ascii="宋体" w:hAnsi="宋体" w:cs="宋体"/>
                <w:color w:val="000000"/>
                <w:kern w:val="0"/>
              </w:rPr>
              <w:t>2069万元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全年未能偿还全部贷款本金利息共</w:t>
            </w:r>
            <w:r>
              <w:rPr>
                <w:rFonts w:ascii="宋体" w:hAnsi="宋体" w:cs="宋体"/>
                <w:color w:val="000000"/>
                <w:kern w:val="0"/>
              </w:rPr>
              <w:t>2069万元</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2069.00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按合同规定完成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按规定偿还</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未按规定偿还</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623.00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社会各层满意度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623.00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加强路面日常预防性养护和维护，延长道路使用寿命，确保桥梁通行安全，确保道路设施安全，道路通畅。保障</w:t>
            </w:r>
            <w:r>
              <w:rPr>
                <w:rFonts w:ascii="宋体" w:hAnsi="宋体" w:cs="宋体"/>
                <w:color w:val="000000"/>
                <w:kern w:val="0"/>
              </w:rPr>
              <w:t>93.3公里，343.3万平米（含18座桥梁）外环道路路面日常维修管护。</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2017年工程支出</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623万元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623万元以上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623.00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加强路面日常预防性养护和维护，延长道路使用寿命，确保桥梁通行安全，确保道路设施安全，道路通畅。保障</w:t>
            </w:r>
            <w:r>
              <w:rPr>
                <w:rFonts w:ascii="宋体" w:hAnsi="宋体" w:cs="宋体"/>
                <w:color w:val="000000"/>
                <w:kern w:val="0"/>
              </w:rPr>
              <w:t>93.3公里，343.3万平米（含18座桥梁）外环道路路面日常维修管护。</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维护道路总面积</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343.3万平方米</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343.3万平方米以下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623.00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加强路面日常预防性养护和维护，延长道路使用寿命，确保桥梁通行安全，确保道路设施安全，道路通畅。保障</w:t>
            </w:r>
            <w:r>
              <w:rPr>
                <w:rFonts w:ascii="宋体" w:hAnsi="宋体" w:cs="宋体"/>
                <w:color w:val="000000"/>
                <w:kern w:val="0"/>
              </w:rPr>
              <w:t>93.3公里，343.3万平米（含18座桥梁）外环道路路面日常维修管护。</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2017年年底前完成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2017年年底未完成</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623.00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加强路面日常预防性养护和维护，延长道路使用寿命，确保桥梁通行安全，确保道路设施安全，道路通畅。保障</w:t>
            </w:r>
            <w:r>
              <w:rPr>
                <w:rFonts w:ascii="宋体" w:hAnsi="宋体" w:cs="宋体"/>
                <w:color w:val="000000"/>
                <w:kern w:val="0"/>
              </w:rPr>
              <w:t>93.3公里，343.3万平米（含18座桥梁）外环道路路面日常维修管护。</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道路维修维护单位成本</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1.78元/平米</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1.78元/</w:t>
            </w:r>
            <w:proofErr w:type="gramStart"/>
            <w:r>
              <w:rPr>
                <w:rFonts w:ascii="宋体" w:hAnsi="宋体" w:cs="宋体"/>
                <w:color w:val="000000"/>
                <w:kern w:val="0"/>
              </w:rPr>
              <w:t>平米以上</w:t>
            </w:r>
            <w:proofErr w:type="gramEnd"/>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623.00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加强路面日常预防性养护和维护，延长道路使用寿命，确保桥梁通行安全，确保道路设施安全，道路通畅。保障</w:t>
            </w:r>
            <w:r>
              <w:rPr>
                <w:rFonts w:ascii="宋体" w:hAnsi="宋体" w:cs="宋体"/>
                <w:color w:val="000000"/>
                <w:kern w:val="0"/>
              </w:rPr>
              <w:t>93.3公里，343.3万平米（含18座桥梁）外环道路路面日常维修管护。</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工程质量标准</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城市一级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未达城市一级标准</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800.00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800.00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修复破损路面道路全长</w:t>
            </w:r>
            <w:r>
              <w:rPr>
                <w:rFonts w:ascii="宋体" w:hAnsi="宋体" w:cs="宋体"/>
                <w:color w:val="000000"/>
                <w:kern w:val="0"/>
              </w:rPr>
              <w:t>19.76千米，修复破损钢筋</w:t>
            </w:r>
            <w:proofErr w:type="gramStart"/>
            <w:r>
              <w:rPr>
                <w:rFonts w:ascii="宋体" w:hAnsi="宋体" w:cs="宋体"/>
                <w:color w:val="000000"/>
                <w:kern w:val="0"/>
              </w:rPr>
              <w:t>砼</w:t>
            </w:r>
            <w:proofErr w:type="gramEnd"/>
            <w:r>
              <w:rPr>
                <w:rFonts w:ascii="宋体" w:hAnsi="宋体" w:cs="宋体"/>
                <w:color w:val="000000"/>
                <w:kern w:val="0"/>
              </w:rPr>
              <w:t>路面584662平方米，</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维修范围</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合理利用资金完成维修工作</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完不成</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800.00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工程质量标准</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一级</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未达一级</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800.00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维修成本</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800万元以上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449.41</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对外环路灯集中进行修复及完善</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设施完好率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449.41</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维护成本</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449.41万元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449.41万元以上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449.41</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对外环路灯集中进行修复及完善</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2016年年底前完成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2016年年底后完成</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449.41</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449.41</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对外环路灯集中进行修复及完善</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甄家庄立交桥和西环路路灯修复数量</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1200盏以上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1200盏以下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449.41</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对外环路灯集中进行修复及完善</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路灯亮灯率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为偿还北出口及资产贷款，</w:t>
            </w:r>
            <w:r>
              <w:rPr>
                <w:rFonts w:ascii="宋体" w:hAnsi="宋体" w:cs="宋体"/>
                <w:color w:val="000000"/>
                <w:kern w:val="0"/>
              </w:rPr>
              <w:t>2016年拟安排100万元，用于偿还财政局借款。</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偿还金额</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偿还借款</w:t>
            </w:r>
            <w:r>
              <w:rPr>
                <w:rFonts w:ascii="宋体" w:hAnsi="宋体" w:cs="宋体"/>
                <w:color w:val="000000"/>
                <w:kern w:val="0"/>
              </w:rPr>
              <w:t>2000万元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未能偿还借款</w:t>
            </w:r>
            <w:r>
              <w:rPr>
                <w:rFonts w:ascii="宋体" w:hAnsi="宋体" w:cs="宋体"/>
                <w:color w:val="000000"/>
                <w:kern w:val="0"/>
              </w:rPr>
              <w:t>2000万元</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按规定完成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未完成</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为偿还北出口及资产贷款，</w:t>
            </w:r>
            <w:r>
              <w:rPr>
                <w:rFonts w:ascii="宋体" w:hAnsi="宋体" w:cs="宋体"/>
                <w:color w:val="000000"/>
                <w:kern w:val="0"/>
              </w:rPr>
              <w:t>2016年拟安排100万元，用于偿还财政局借款。</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偿还时限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12月31日前按时偿还借款</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12月31日前未能按时偿还借款</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工程尾款支出</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200万元以上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收费站正常使用</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正常使用</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不能保障正常使用</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收费站建设内容</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完成建设</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未完成建设</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支付时限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2017年年底前支付</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2017年年底前未支付</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收费站质量要求</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收费站开通，正常收费</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收费站未开通，不能正常收费</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2017年支付工程尾款300万元</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200万元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200万元以上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支付时限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017年年底前支付</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017年年底前未支付</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收费站建设内容</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完成建设</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未完成建设</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400.48</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2017年12月底前支付</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2017年12月底前未支付</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400.48</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维修成本</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400.48万元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400.48万元以上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400.48</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道路通畅</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未完成</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400.48</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185.65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支付时限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按时支付</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未能按时支付</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185.65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工程质量标准</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达到</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未达到</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185.65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工程尾款支出</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185.65万元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185.65万元以上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185.65</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345.02</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工程质量标准</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达到</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未达到</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345.02</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345.02</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支付时限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按时支付</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未能按时支付</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345.02</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工程尾款支出</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345.02万元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345.02万元以上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408.54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工程质量标准</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达到</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未达到</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408.54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408.54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支付时限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按时支付</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未按时支付</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408.54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支付工程尾款</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408.54万元</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408.54万元以上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群众满意度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无害化处理率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焚烧处理量</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70万吨以上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70万吨以下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焚烧处理市中心区生活垃圾，实现无害化、资源化</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市级财政支出</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3600万元以下</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3600万元以上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焚烧处理市中心区生活垃圾，实现无害化、资源化</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3600.00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焚烧处理市中心区生活垃圾，实现无害化、资源化</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焚烧项目监管考核</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95分</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85分</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75分</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75分以下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467.00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市级财政支出</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控制在预算限额内</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超预算</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467.00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2017年11月</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2018年1月</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2018年2月</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467.00</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无害化处理达标标准</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254.04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周边社会群体满意程度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无</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有</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8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254.04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王禾庄</w:t>
            </w:r>
            <w:proofErr w:type="gramEnd"/>
            <w:r>
              <w:rPr>
                <w:rFonts w:ascii="宋体" w:hAnsi="宋体" w:cs="宋体" w:hint="eastAsia"/>
                <w:color w:val="000000"/>
                <w:kern w:val="0"/>
              </w:rPr>
              <w:t>垃圾转运站设计能力</w:t>
            </w:r>
            <w:r>
              <w:rPr>
                <w:rFonts w:ascii="宋体" w:hAnsi="宋体" w:cs="宋体"/>
                <w:color w:val="000000"/>
                <w:kern w:val="0"/>
              </w:rPr>
              <w:t>600吨/日，三套压装设备，实际垃圾转运量800吨/日，远超出设计能力，致使压</w:t>
            </w:r>
            <w:proofErr w:type="gramStart"/>
            <w:r>
              <w:rPr>
                <w:rFonts w:ascii="宋体" w:hAnsi="宋体" w:cs="宋体"/>
                <w:color w:val="000000"/>
                <w:kern w:val="0"/>
              </w:rPr>
              <w:t>装速度</w:t>
            </w:r>
            <w:proofErr w:type="gramEnd"/>
            <w:r>
              <w:rPr>
                <w:rFonts w:ascii="宋体" w:hAnsi="宋体" w:cs="宋体"/>
                <w:color w:val="000000"/>
                <w:kern w:val="0"/>
              </w:rPr>
              <w:t>增快，压装设备长期超负荷运转，移动架变形，电控、除尘、除臭设备频发故障，导致设备腐蚀老化，对站内及周边环境造成二次污染，影响压装设备的正常使用与维护，无法正常大修。为便于管理维护使用和将来3套老设备更新，决定建立第四套设备。</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时效指标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2017年9月完成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2017年10月完成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2017年11月完成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2017年12月完成</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254.04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市级财政资金支出</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254.04万元以下</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254.04万元以上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8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254.04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王禾庄</w:t>
            </w:r>
            <w:proofErr w:type="gramEnd"/>
            <w:r>
              <w:rPr>
                <w:rFonts w:ascii="宋体" w:hAnsi="宋体" w:cs="宋体" w:hint="eastAsia"/>
                <w:color w:val="000000"/>
                <w:kern w:val="0"/>
              </w:rPr>
              <w:t>垃圾转运站设计能力</w:t>
            </w:r>
            <w:r>
              <w:rPr>
                <w:rFonts w:ascii="宋体" w:hAnsi="宋体" w:cs="宋体"/>
                <w:color w:val="000000"/>
                <w:kern w:val="0"/>
              </w:rPr>
              <w:t>600吨/日，三套压装设备，实际垃圾转运量800吨/日，远超出设计能力，致使压</w:t>
            </w:r>
            <w:proofErr w:type="gramStart"/>
            <w:r>
              <w:rPr>
                <w:rFonts w:ascii="宋体" w:hAnsi="宋体" w:cs="宋体"/>
                <w:color w:val="000000"/>
                <w:kern w:val="0"/>
              </w:rPr>
              <w:t>装速度</w:t>
            </w:r>
            <w:proofErr w:type="gramEnd"/>
            <w:r>
              <w:rPr>
                <w:rFonts w:ascii="宋体" w:hAnsi="宋体" w:cs="宋体"/>
                <w:color w:val="000000"/>
                <w:kern w:val="0"/>
              </w:rPr>
              <w:t>增快，压装设备长期超负荷运转，移动架变形，电控、除尘、除臭设备频发故障，导致设备腐蚀老化，对站内及周边环境造成二次污染，影响压装设备的正常使用与维护，无法正常大修。为便于管理维护使用和将来3套老设备更新，决定建立第四套设备。</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安装设备质量合格</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100%</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8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254.04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roofErr w:type="gramStart"/>
            <w:r>
              <w:rPr>
                <w:rFonts w:ascii="宋体" w:hAnsi="宋体" w:cs="宋体" w:hint="eastAsia"/>
                <w:color w:val="000000"/>
                <w:kern w:val="0"/>
              </w:rPr>
              <w:t>王禾庄</w:t>
            </w:r>
            <w:proofErr w:type="gramEnd"/>
            <w:r>
              <w:rPr>
                <w:rFonts w:ascii="宋体" w:hAnsi="宋体" w:cs="宋体" w:hint="eastAsia"/>
                <w:color w:val="000000"/>
                <w:kern w:val="0"/>
              </w:rPr>
              <w:t>垃圾转运站设计能力</w:t>
            </w:r>
            <w:r>
              <w:rPr>
                <w:rFonts w:ascii="宋体" w:hAnsi="宋体" w:cs="宋体"/>
                <w:color w:val="000000"/>
                <w:kern w:val="0"/>
              </w:rPr>
              <w:t>600吨/日，三套压装设备，实际垃圾转运量800吨/日，远超出设计能力，致使压</w:t>
            </w:r>
            <w:proofErr w:type="gramStart"/>
            <w:r>
              <w:rPr>
                <w:rFonts w:ascii="宋体" w:hAnsi="宋体" w:cs="宋体"/>
                <w:color w:val="000000"/>
                <w:kern w:val="0"/>
              </w:rPr>
              <w:t>装速度</w:t>
            </w:r>
            <w:proofErr w:type="gramEnd"/>
            <w:r>
              <w:rPr>
                <w:rFonts w:ascii="宋体" w:hAnsi="宋体" w:cs="宋体"/>
                <w:color w:val="000000"/>
                <w:kern w:val="0"/>
              </w:rPr>
              <w:t>增快，压装设备长期超负荷运转，移动架变形，电控、除尘、除臭设备频发故障，导致设备腐蚀老化，对站内及周边环境造成二次污染，影响压装设备的正常使用与维护，无法正常大修。为便于管理维护使用和将来3套老设备更新，决定建立第四套设备。</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数量指标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压</w:t>
            </w:r>
            <w:proofErr w:type="gramStart"/>
            <w:r>
              <w:rPr>
                <w:rFonts w:ascii="宋体" w:hAnsi="宋体" w:cs="宋体" w:hint="eastAsia"/>
                <w:color w:val="000000"/>
                <w:kern w:val="0"/>
              </w:rPr>
              <w:t>装能力</w:t>
            </w:r>
            <w:proofErr w:type="gramEnd"/>
            <w:r>
              <w:rPr>
                <w:rFonts w:ascii="宋体" w:hAnsi="宋体" w:cs="宋体" w:hint="eastAsia"/>
                <w:color w:val="000000"/>
                <w:kern w:val="0"/>
              </w:rPr>
              <w:t>达到</w:t>
            </w:r>
            <w:r>
              <w:rPr>
                <w:rFonts w:ascii="宋体" w:hAnsi="宋体" w:cs="宋体"/>
                <w:color w:val="000000"/>
                <w:kern w:val="0"/>
              </w:rPr>
              <w:t>400吨/日</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压</w:t>
            </w:r>
            <w:proofErr w:type="gramStart"/>
            <w:r>
              <w:rPr>
                <w:rFonts w:ascii="宋体" w:hAnsi="宋体" w:cs="宋体" w:hint="eastAsia"/>
                <w:color w:val="000000"/>
                <w:kern w:val="0"/>
              </w:rPr>
              <w:t>装能力未</w:t>
            </w:r>
            <w:proofErr w:type="gramEnd"/>
            <w:r>
              <w:rPr>
                <w:rFonts w:ascii="宋体" w:hAnsi="宋体" w:cs="宋体" w:hint="eastAsia"/>
                <w:color w:val="000000"/>
                <w:kern w:val="0"/>
              </w:rPr>
              <w:t>达到</w:t>
            </w:r>
            <w:r>
              <w:rPr>
                <w:rFonts w:ascii="宋体" w:hAnsi="宋体" w:cs="宋体"/>
                <w:color w:val="000000"/>
                <w:kern w:val="0"/>
              </w:rPr>
              <w:t>400吨/日</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4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市政公用设施建设与管理</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254.04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拟定市政公用事业各行业的中长期发展规划，并定期进行评估；指导城市供水、节水、燃气、热力、市政设施、园林、污水处理、垃圾处理等设施建设，指导城市规划区的绿化和生物多样性工作；指导全市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生态环境效益</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无</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有</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t>城市容貌环境综合整治</w:t>
            </w: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404.97</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指导城市市容环境治理、城建监察、数字化城市管理系统平台建设及运行等各项工作，加强餐厨废弃物管理，改善人居环境，大气污染治理。</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w:t>
            </w:r>
            <w:r>
              <w:rPr>
                <w:rFonts w:ascii="宋体" w:hAnsi="宋体" w:cs="宋体"/>
                <w:color w:val="000000"/>
                <w:kern w:val="0"/>
              </w:rPr>
              <w:t>18个节点约54万平方米绿化浇水、修剪、施肥、防病虫害等绿化养护工作。</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养护内容</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全部养护</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未全部养护</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val="restart"/>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城市容貌环境综合整治</w:t>
            </w:r>
          </w:p>
        </w:tc>
        <w:tc>
          <w:tcPr>
            <w:tcW w:w="1276" w:type="dxa"/>
            <w:vMerge w:val="restart"/>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404.97</w:t>
            </w:r>
          </w:p>
        </w:tc>
        <w:tc>
          <w:tcPr>
            <w:tcW w:w="3827" w:type="dxa"/>
            <w:vMerge w:val="restart"/>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指导城市市容环境治理、城建监察、数字化城市管理系统平台建设及运行等各项工作，加强餐厨废弃物管理，改善人居环境，大气污染治理。</w:t>
            </w:r>
          </w:p>
        </w:tc>
        <w:tc>
          <w:tcPr>
            <w:tcW w:w="2693" w:type="dxa"/>
            <w:vMerge w:val="restart"/>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w:t>
            </w:r>
            <w:r>
              <w:rPr>
                <w:rFonts w:ascii="宋体" w:hAnsi="宋体" w:cs="宋体"/>
                <w:color w:val="000000"/>
                <w:kern w:val="0"/>
              </w:rPr>
              <w:t>18个节点约54万平方米绿化浇水、修剪、施肥、防病虫害等绿化养护工作。</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2017年年底前完成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2017年年底未完成</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shd w:val="clear" w:color="auto" w:fill="auto"/>
            <w:vAlign w:val="center"/>
          </w:tcPr>
          <w:p w:rsidR="007E22E4" w:rsidRPr="009450AF" w:rsidRDefault="007E22E4" w:rsidP="007E22E4">
            <w:pPr>
              <w:widowControl/>
              <w:jc w:val="center"/>
              <w:rPr>
                <w:rFonts w:ascii="宋体" w:hAnsi="宋体" w:cs="宋体"/>
                <w:color w:val="000000"/>
                <w:kern w:val="0"/>
              </w:rPr>
            </w:pPr>
          </w:p>
        </w:tc>
        <w:tc>
          <w:tcPr>
            <w:tcW w:w="1276" w:type="dxa"/>
            <w:vMerge/>
            <w:shd w:val="clear" w:color="auto" w:fill="auto"/>
            <w:vAlign w:val="center"/>
          </w:tcPr>
          <w:p w:rsidR="007E22E4" w:rsidRPr="009450AF" w:rsidRDefault="007E22E4" w:rsidP="007E22E4">
            <w:pPr>
              <w:widowControl/>
              <w:jc w:val="right"/>
              <w:rPr>
                <w:rFonts w:ascii="宋体" w:hAnsi="宋体" w:cs="宋体"/>
                <w:color w:val="000000"/>
                <w:kern w:val="0"/>
              </w:rPr>
            </w:pPr>
          </w:p>
        </w:tc>
        <w:tc>
          <w:tcPr>
            <w:tcW w:w="3827"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2693"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养护面积</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54万平方米</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554万平方米以下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shd w:val="clear" w:color="auto" w:fill="auto"/>
            <w:vAlign w:val="center"/>
          </w:tcPr>
          <w:p w:rsidR="007E22E4" w:rsidRPr="009450AF" w:rsidRDefault="007E22E4" w:rsidP="007E22E4">
            <w:pPr>
              <w:widowControl/>
              <w:jc w:val="center"/>
              <w:rPr>
                <w:rFonts w:ascii="宋体" w:hAnsi="宋体" w:cs="宋体"/>
                <w:color w:val="000000"/>
                <w:kern w:val="0"/>
              </w:rPr>
            </w:pPr>
          </w:p>
        </w:tc>
        <w:tc>
          <w:tcPr>
            <w:tcW w:w="1276" w:type="dxa"/>
            <w:vMerge/>
            <w:shd w:val="clear" w:color="auto" w:fill="auto"/>
            <w:vAlign w:val="center"/>
          </w:tcPr>
          <w:p w:rsidR="007E22E4" w:rsidRPr="009450AF" w:rsidRDefault="007E22E4" w:rsidP="007E22E4">
            <w:pPr>
              <w:widowControl/>
              <w:jc w:val="right"/>
              <w:rPr>
                <w:rFonts w:ascii="宋体" w:hAnsi="宋体" w:cs="宋体"/>
                <w:color w:val="000000"/>
                <w:kern w:val="0"/>
              </w:rPr>
            </w:pPr>
          </w:p>
        </w:tc>
        <w:tc>
          <w:tcPr>
            <w:tcW w:w="3827"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2693"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病虫害控制率</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10%以下</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10%以上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shd w:val="clear" w:color="auto" w:fill="auto"/>
            <w:vAlign w:val="center"/>
          </w:tcPr>
          <w:p w:rsidR="007E22E4" w:rsidRPr="009450AF" w:rsidRDefault="007E22E4" w:rsidP="007E22E4">
            <w:pPr>
              <w:widowControl/>
              <w:jc w:val="center"/>
              <w:rPr>
                <w:rFonts w:ascii="宋体" w:hAnsi="宋体" w:cs="宋体"/>
                <w:color w:val="000000"/>
                <w:kern w:val="0"/>
              </w:rPr>
            </w:pPr>
          </w:p>
        </w:tc>
        <w:tc>
          <w:tcPr>
            <w:tcW w:w="1276" w:type="dxa"/>
            <w:vMerge/>
            <w:shd w:val="clear" w:color="auto" w:fill="auto"/>
            <w:vAlign w:val="center"/>
          </w:tcPr>
          <w:p w:rsidR="007E22E4" w:rsidRPr="009450AF" w:rsidRDefault="007E22E4" w:rsidP="007E22E4">
            <w:pPr>
              <w:widowControl/>
              <w:jc w:val="right"/>
              <w:rPr>
                <w:rFonts w:ascii="宋体" w:hAnsi="宋体" w:cs="宋体"/>
                <w:color w:val="000000"/>
                <w:kern w:val="0"/>
              </w:rPr>
            </w:pPr>
          </w:p>
        </w:tc>
        <w:tc>
          <w:tcPr>
            <w:tcW w:w="3827"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2693"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85%以下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val="restart"/>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城市容貌环境综合整治</w:t>
            </w:r>
          </w:p>
        </w:tc>
        <w:tc>
          <w:tcPr>
            <w:tcW w:w="1276" w:type="dxa"/>
            <w:vMerge w:val="restart"/>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404.97</w:t>
            </w:r>
          </w:p>
        </w:tc>
        <w:tc>
          <w:tcPr>
            <w:tcW w:w="3827" w:type="dxa"/>
            <w:vMerge w:val="restart"/>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指导城市市容环境治理、城建监察、数字化城市管理系统平台建设及运行等各项工作，加强餐厨废弃物管理，改善人居环境，大气污染治理。</w:t>
            </w:r>
          </w:p>
        </w:tc>
        <w:tc>
          <w:tcPr>
            <w:tcW w:w="2693" w:type="dxa"/>
            <w:vMerge w:val="restart"/>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w:t>
            </w:r>
            <w:r>
              <w:rPr>
                <w:rFonts w:ascii="宋体" w:hAnsi="宋体" w:cs="宋体"/>
                <w:color w:val="000000"/>
                <w:kern w:val="0"/>
              </w:rPr>
              <w:t>18个节点约54万平方米绿化浇水、修剪、施肥、防病虫害等绿化养护工作。</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养护成本</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404.97万元以下</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404.97万元以上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shd w:val="clear" w:color="auto" w:fill="auto"/>
            <w:vAlign w:val="center"/>
          </w:tcPr>
          <w:p w:rsidR="007E22E4" w:rsidRPr="009450AF" w:rsidRDefault="007E22E4" w:rsidP="007E22E4">
            <w:pPr>
              <w:widowControl/>
              <w:jc w:val="center"/>
              <w:rPr>
                <w:rFonts w:ascii="宋体" w:hAnsi="宋体" w:cs="宋体"/>
                <w:color w:val="000000"/>
                <w:kern w:val="0"/>
              </w:rPr>
            </w:pPr>
          </w:p>
        </w:tc>
        <w:tc>
          <w:tcPr>
            <w:tcW w:w="1276" w:type="dxa"/>
            <w:vMerge/>
            <w:shd w:val="clear" w:color="auto" w:fill="auto"/>
            <w:vAlign w:val="center"/>
          </w:tcPr>
          <w:p w:rsidR="007E22E4" w:rsidRPr="009450AF" w:rsidRDefault="007E22E4" w:rsidP="007E22E4">
            <w:pPr>
              <w:widowControl/>
              <w:jc w:val="right"/>
              <w:rPr>
                <w:rFonts w:ascii="宋体" w:hAnsi="宋体" w:cs="宋体"/>
                <w:color w:val="000000"/>
                <w:kern w:val="0"/>
              </w:rPr>
            </w:pPr>
          </w:p>
        </w:tc>
        <w:tc>
          <w:tcPr>
            <w:tcW w:w="3827"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2693"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行道树</w:t>
            </w:r>
            <w:proofErr w:type="gramStart"/>
            <w:r>
              <w:rPr>
                <w:rFonts w:ascii="宋体" w:hAnsi="宋体" w:cs="宋体" w:hint="eastAsia"/>
                <w:color w:val="000000"/>
                <w:kern w:val="0"/>
              </w:rPr>
              <w:t>缺失率</w:t>
            </w:r>
            <w:proofErr w:type="gramEnd"/>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4%以下</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4%以上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shd w:val="clear" w:color="auto" w:fill="auto"/>
            <w:vAlign w:val="center"/>
          </w:tcPr>
          <w:p w:rsidR="007E22E4" w:rsidRPr="009450AF" w:rsidRDefault="007E22E4" w:rsidP="007E22E4">
            <w:pPr>
              <w:widowControl/>
              <w:jc w:val="center"/>
              <w:rPr>
                <w:rFonts w:ascii="宋体" w:hAnsi="宋体" w:cs="宋体"/>
                <w:color w:val="000000"/>
                <w:kern w:val="0"/>
              </w:rPr>
            </w:pPr>
          </w:p>
        </w:tc>
        <w:tc>
          <w:tcPr>
            <w:tcW w:w="1276" w:type="dxa"/>
            <w:vMerge/>
            <w:shd w:val="clear" w:color="auto" w:fill="auto"/>
            <w:vAlign w:val="center"/>
          </w:tcPr>
          <w:p w:rsidR="007E22E4" w:rsidRPr="009450AF" w:rsidRDefault="007E22E4" w:rsidP="007E22E4">
            <w:pPr>
              <w:widowControl/>
              <w:jc w:val="right"/>
              <w:rPr>
                <w:rFonts w:ascii="宋体" w:hAnsi="宋体" w:cs="宋体"/>
                <w:color w:val="000000"/>
                <w:kern w:val="0"/>
              </w:rPr>
            </w:pPr>
          </w:p>
        </w:tc>
        <w:tc>
          <w:tcPr>
            <w:tcW w:w="3827"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2693"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草坪纯度标准</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15株以下</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15株以上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shd w:val="clear" w:color="auto" w:fill="auto"/>
            <w:vAlign w:val="center"/>
          </w:tcPr>
          <w:p w:rsidR="007E22E4" w:rsidRPr="009450AF" w:rsidRDefault="007E22E4" w:rsidP="007E22E4">
            <w:pPr>
              <w:widowControl/>
              <w:jc w:val="center"/>
              <w:rPr>
                <w:rFonts w:ascii="宋体" w:hAnsi="宋体" w:cs="宋体"/>
                <w:color w:val="000000"/>
                <w:kern w:val="0"/>
              </w:rPr>
            </w:pPr>
          </w:p>
        </w:tc>
        <w:tc>
          <w:tcPr>
            <w:tcW w:w="1276" w:type="dxa"/>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645.14</w:t>
            </w:r>
          </w:p>
        </w:tc>
        <w:tc>
          <w:tcPr>
            <w:tcW w:w="3827"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指导城市市容环境治理、城建监察、数字化城市管理系统平台建设及运行等各项工作，加强餐厨废弃物管理，改善人居环境，大气污染治理。</w:t>
            </w:r>
          </w:p>
        </w:tc>
        <w:tc>
          <w:tcPr>
            <w:tcW w:w="269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对我处辖区道路完成清扫保洁，实现对道路的养护目的。</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完成时限</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2016年内完成</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2016年内</w:t>
            </w:r>
            <w:proofErr w:type="gramStart"/>
            <w:r>
              <w:rPr>
                <w:rFonts w:ascii="宋体" w:hAnsi="宋体" w:cs="宋体"/>
                <w:color w:val="000000"/>
                <w:kern w:val="0"/>
              </w:rPr>
              <w:t>未完城</w:t>
            </w:r>
            <w:proofErr w:type="gramEnd"/>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val="restart"/>
            <w:shd w:val="clear" w:color="auto" w:fill="auto"/>
            <w:vAlign w:val="center"/>
          </w:tcPr>
          <w:p w:rsidR="007E22E4" w:rsidRPr="009450AF" w:rsidRDefault="007E22E4" w:rsidP="007E22E4">
            <w:pPr>
              <w:widowControl/>
              <w:jc w:val="center"/>
              <w:rPr>
                <w:rFonts w:ascii="宋体" w:hAnsi="宋体" w:cs="宋体"/>
                <w:color w:val="000000"/>
                <w:kern w:val="0"/>
              </w:rPr>
            </w:pPr>
            <w:r>
              <w:rPr>
                <w:rFonts w:ascii="宋体" w:hAnsi="宋体" w:cs="宋体" w:hint="eastAsia"/>
                <w:color w:val="000000"/>
                <w:kern w:val="0"/>
              </w:rPr>
              <w:lastRenderedPageBreak/>
              <w:t>城市容貌环境综合整治</w:t>
            </w:r>
          </w:p>
        </w:tc>
        <w:tc>
          <w:tcPr>
            <w:tcW w:w="1276" w:type="dxa"/>
            <w:vMerge w:val="restart"/>
            <w:shd w:val="clear" w:color="auto" w:fill="auto"/>
            <w:vAlign w:val="center"/>
          </w:tcPr>
          <w:p w:rsidR="007E22E4" w:rsidRPr="009450AF" w:rsidRDefault="007E22E4" w:rsidP="007E22E4">
            <w:pPr>
              <w:widowControl/>
              <w:jc w:val="right"/>
              <w:rPr>
                <w:rFonts w:ascii="宋体" w:hAnsi="宋体" w:cs="宋体"/>
                <w:color w:val="000000"/>
                <w:kern w:val="0"/>
              </w:rPr>
            </w:pPr>
            <w:r>
              <w:rPr>
                <w:rFonts w:ascii="宋体" w:hAnsi="宋体" w:cs="宋体"/>
                <w:color w:val="000000"/>
                <w:kern w:val="0"/>
              </w:rPr>
              <w:t>645.14</w:t>
            </w:r>
          </w:p>
        </w:tc>
        <w:tc>
          <w:tcPr>
            <w:tcW w:w="3827" w:type="dxa"/>
            <w:vMerge w:val="restart"/>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指导城市市容环境治理、城建监察、数字化城市管理系统平台建设及运行等各项工作，加强餐厨废弃物管理，改善人居环境，大气污染治理。</w:t>
            </w:r>
          </w:p>
        </w:tc>
        <w:tc>
          <w:tcPr>
            <w:tcW w:w="2693" w:type="dxa"/>
            <w:vMerge w:val="restart"/>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对我处辖区道路完成清扫保洁，实现对道路的养护目的。</w:t>
            </w: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清扫成本</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645.14万元以下</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645.14万元以上</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shd w:val="clear" w:color="auto" w:fill="auto"/>
            <w:vAlign w:val="center"/>
          </w:tcPr>
          <w:p w:rsidR="007E22E4" w:rsidRPr="009450AF" w:rsidRDefault="007E22E4" w:rsidP="007E22E4">
            <w:pPr>
              <w:widowControl/>
              <w:jc w:val="center"/>
              <w:rPr>
                <w:rFonts w:ascii="宋体" w:hAnsi="宋体" w:cs="宋体"/>
                <w:color w:val="000000"/>
                <w:kern w:val="0"/>
              </w:rPr>
            </w:pPr>
          </w:p>
        </w:tc>
        <w:tc>
          <w:tcPr>
            <w:tcW w:w="1276" w:type="dxa"/>
            <w:vMerge/>
            <w:shd w:val="clear" w:color="auto" w:fill="auto"/>
            <w:vAlign w:val="center"/>
          </w:tcPr>
          <w:p w:rsidR="007E22E4" w:rsidRPr="009450AF" w:rsidRDefault="007E22E4" w:rsidP="007E22E4">
            <w:pPr>
              <w:widowControl/>
              <w:jc w:val="right"/>
              <w:rPr>
                <w:rFonts w:ascii="宋体" w:hAnsi="宋体" w:cs="宋体"/>
                <w:color w:val="000000"/>
                <w:kern w:val="0"/>
              </w:rPr>
            </w:pPr>
          </w:p>
        </w:tc>
        <w:tc>
          <w:tcPr>
            <w:tcW w:w="3827"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2693"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保洁总面积</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342.24万平方米</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342.24万平方米以下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shd w:val="clear" w:color="auto" w:fill="auto"/>
            <w:vAlign w:val="center"/>
          </w:tcPr>
          <w:p w:rsidR="007E22E4" w:rsidRPr="009450AF" w:rsidRDefault="007E22E4" w:rsidP="007E22E4">
            <w:pPr>
              <w:widowControl/>
              <w:jc w:val="center"/>
              <w:rPr>
                <w:rFonts w:ascii="宋体" w:hAnsi="宋体" w:cs="宋体"/>
                <w:color w:val="000000"/>
                <w:kern w:val="0"/>
              </w:rPr>
            </w:pPr>
          </w:p>
        </w:tc>
        <w:tc>
          <w:tcPr>
            <w:tcW w:w="1276" w:type="dxa"/>
            <w:vMerge/>
            <w:shd w:val="clear" w:color="auto" w:fill="auto"/>
            <w:vAlign w:val="center"/>
          </w:tcPr>
          <w:p w:rsidR="007E22E4" w:rsidRPr="009450AF" w:rsidRDefault="007E22E4" w:rsidP="007E22E4">
            <w:pPr>
              <w:widowControl/>
              <w:jc w:val="right"/>
              <w:rPr>
                <w:rFonts w:ascii="宋体" w:hAnsi="宋体" w:cs="宋体"/>
                <w:color w:val="000000"/>
                <w:kern w:val="0"/>
              </w:rPr>
            </w:pPr>
          </w:p>
        </w:tc>
        <w:tc>
          <w:tcPr>
            <w:tcW w:w="3827"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2693"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社会满意度</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90%以上</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color w:val="000000"/>
                <w:kern w:val="0"/>
              </w:rPr>
              <w:t>90%以下</w:t>
            </w:r>
          </w:p>
        </w:tc>
      </w:tr>
      <w:tr w:rsidR="007E22E4" w:rsidRPr="009450AF" w:rsidTr="007E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0"/>
        </w:trPr>
        <w:tc>
          <w:tcPr>
            <w:tcW w:w="1702" w:type="dxa"/>
            <w:vMerge/>
            <w:shd w:val="clear" w:color="auto" w:fill="auto"/>
            <w:vAlign w:val="center"/>
          </w:tcPr>
          <w:p w:rsidR="007E22E4" w:rsidRPr="009450AF" w:rsidRDefault="007E22E4" w:rsidP="007E22E4">
            <w:pPr>
              <w:widowControl/>
              <w:jc w:val="center"/>
              <w:rPr>
                <w:rFonts w:ascii="宋体" w:hAnsi="宋体" w:cs="宋体"/>
                <w:color w:val="000000"/>
                <w:kern w:val="0"/>
              </w:rPr>
            </w:pPr>
          </w:p>
        </w:tc>
        <w:tc>
          <w:tcPr>
            <w:tcW w:w="1276" w:type="dxa"/>
            <w:vMerge/>
            <w:shd w:val="clear" w:color="auto" w:fill="auto"/>
            <w:vAlign w:val="center"/>
          </w:tcPr>
          <w:p w:rsidR="007E22E4" w:rsidRPr="009450AF" w:rsidRDefault="007E22E4" w:rsidP="007E22E4">
            <w:pPr>
              <w:widowControl/>
              <w:jc w:val="right"/>
              <w:rPr>
                <w:rFonts w:ascii="宋体" w:hAnsi="宋体" w:cs="宋体"/>
                <w:color w:val="000000"/>
                <w:kern w:val="0"/>
              </w:rPr>
            </w:pPr>
          </w:p>
        </w:tc>
        <w:tc>
          <w:tcPr>
            <w:tcW w:w="3827"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2693" w:type="dxa"/>
            <w:vMerge/>
            <w:shd w:val="clear" w:color="auto" w:fill="auto"/>
            <w:vAlign w:val="center"/>
          </w:tcPr>
          <w:p w:rsidR="007E22E4" w:rsidRPr="009450AF" w:rsidRDefault="007E22E4" w:rsidP="007E22E4">
            <w:pPr>
              <w:widowControl/>
              <w:rPr>
                <w:rFonts w:ascii="宋体" w:hAnsi="宋体" w:cs="宋体"/>
                <w:color w:val="000000"/>
                <w:kern w:val="0"/>
              </w:rPr>
            </w:pPr>
          </w:p>
        </w:tc>
        <w:tc>
          <w:tcPr>
            <w:tcW w:w="1843"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清扫达到《唐山市城市精细化管理考核办法》要求</w:t>
            </w:r>
          </w:p>
        </w:tc>
        <w:tc>
          <w:tcPr>
            <w:tcW w:w="1161"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达标</w:t>
            </w: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p>
        </w:tc>
        <w:tc>
          <w:tcPr>
            <w:tcW w:w="1056" w:type="dxa"/>
            <w:shd w:val="clear" w:color="auto" w:fill="auto"/>
            <w:vAlign w:val="center"/>
          </w:tcPr>
          <w:p w:rsidR="007E22E4" w:rsidRPr="009450AF" w:rsidRDefault="007E22E4" w:rsidP="007E22E4">
            <w:pPr>
              <w:widowControl/>
              <w:rPr>
                <w:rFonts w:ascii="宋体" w:hAnsi="宋体" w:cs="宋体"/>
                <w:color w:val="000000"/>
                <w:kern w:val="0"/>
              </w:rPr>
            </w:pPr>
            <w:r>
              <w:rPr>
                <w:rFonts w:ascii="宋体" w:hAnsi="宋体" w:cs="宋体" w:hint="eastAsia"/>
                <w:color w:val="000000"/>
                <w:kern w:val="0"/>
              </w:rPr>
              <w:t>未达标</w:t>
            </w:r>
          </w:p>
        </w:tc>
      </w:tr>
    </w:tbl>
    <w:p w:rsidR="007E22E4" w:rsidRDefault="007E22E4" w:rsidP="007E22E4">
      <w:pPr>
        <w:spacing w:line="360" w:lineRule="auto"/>
        <w:jc w:val="left"/>
      </w:pPr>
    </w:p>
    <w:p w:rsidR="007E22E4" w:rsidRDefault="007E22E4" w:rsidP="007E22E4">
      <w:pPr>
        <w:jc w:val="left"/>
        <w:rPr>
          <w:rFonts w:ascii="仿宋" w:eastAsia="仿宋" w:hAnsi="仿宋"/>
          <w:color w:val="000000"/>
          <w:sz w:val="28"/>
        </w:rPr>
        <w:sectPr w:rsidR="007E22E4" w:rsidSect="007E22E4">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pPr>
    </w:p>
    <w:bookmarkEnd w:id="0"/>
    <w:p w:rsidR="00524899" w:rsidRDefault="00054DAF" w:rsidP="0077313B">
      <w:pPr>
        <w:autoSpaceDE w:val="0"/>
        <w:autoSpaceDN w:val="0"/>
        <w:adjustRightInd w:val="0"/>
        <w:ind w:firstLineChars="250" w:firstLine="800"/>
        <w:jc w:val="left"/>
        <w:rPr>
          <w:rFonts w:ascii="黑体" w:eastAsia="黑体" w:hAnsi="黑体" w:cs="黑体"/>
          <w:sz w:val="32"/>
          <w:szCs w:val="32"/>
        </w:rPr>
      </w:pPr>
      <w:r w:rsidRPr="00925753">
        <w:rPr>
          <w:rFonts w:ascii="黑体" w:eastAsia="黑体" w:hAnsi="黑体" w:cs="黑体" w:hint="eastAsia"/>
          <w:sz w:val="32"/>
          <w:szCs w:val="32"/>
        </w:rPr>
        <w:lastRenderedPageBreak/>
        <w:t>六、政府采购预算情况</w:t>
      </w:r>
      <w:r>
        <w:rPr>
          <w:rFonts w:ascii="黑体" w:eastAsia="黑体" w:hAnsi="黑体" w:cs="黑体" w:hint="eastAsia"/>
          <w:sz w:val="32"/>
          <w:szCs w:val="32"/>
        </w:rPr>
        <w:t>：</w:t>
      </w:r>
    </w:p>
    <w:p w:rsidR="00524899" w:rsidRPr="00524899" w:rsidRDefault="00524899" w:rsidP="0077313B">
      <w:pPr>
        <w:autoSpaceDE w:val="0"/>
        <w:autoSpaceDN w:val="0"/>
        <w:adjustRightInd w:val="0"/>
        <w:ind w:firstLineChars="250" w:firstLine="800"/>
        <w:jc w:val="left"/>
        <w:rPr>
          <w:rFonts w:ascii="仿宋" w:eastAsia="仿宋" w:hAnsi="仿宋" w:cs="黑体"/>
          <w:sz w:val="32"/>
          <w:szCs w:val="32"/>
        </w:rPr>
      </w:pPr>
      <w:r w:rsidRPr="00524899">
        <w:rPr>
          <w:rFonts w:ascii="仿宋" w:eastAsia="仿宋" w:hAnsi="仿宋" w:cs="黑体" w:hint="eastAsia"/>
          <w:sz w:val="32"/>
          <w:szCs w:val="32"/>
        </w:rPr>
        <w:t>本年度</w:t>
      </w:r>
      <w:proofErr w:type="gramStart"/>
      <w:r w:rsidRPr="00524899">
        <w:rPr>
          <w:rFonts w:ascii="仿宋" w:eastAsia="仿宋" w:hAnsi="仿宋" w:cs="黑体" w:hint="eastAsia"/>
          <w:sz w:val="32"/>
          <w:szCs w:val="32"/>
        </w:rPr>
        <w:t>我部门</w:t>
      </w:r>
      <w:proofErr w:type="gramEnd"/>
      <w:r w:rsidRPr="00524899">
        <w:rPr>
          <w:rFonts w:ascii="仿宋" w:eastAsia="仿宋" w:hAnsi="仿宋" w:cs="黑体" w:hint="eastAsia"/>
          <w:sz w:val="32"/>
          <w:szCs w:val="32"/>
        </w:rPr>
        <w:t>安排采购预算30369.67万元，其中：一般公共预算拨款安排15369.67万元，政府性基金预算拨款安排15000万元。</w:t>
      </w:r>
    </w:p>
    <w:p w:rsidR="00524899" w:rsidRPr="00CE1570" w:rsidRDefault="00524899" w:rsidP="00524899">
      <w:pPr>
        <w:pStyle w:val="a6"/>
      </w:pPr>
      <w:bookmarkStart w:id="1" w:name="_Toc476223123"/>
      <w:r w:rsidRPr="00FC1D35">
        <w:rPr>
          <w:rFonts w:hint="eastAsia"/>
        </w:rPr>
        <w:t>部门政府采购预算</w:t>
      </w:r>
      <w:bookmarkEnd w:id="1"/>
      <w:r w:rsidRPr="00FC1D35">
        <w:rPr>
          <w:rFonts w:hint="eastAsia"/>
          <w:sz w:val="28"/>
        </w:rPr>
        <w:t xml:space="preserve">                      </w:t>
      </w:r>
      <w:r w:rsidRPr="00FC1D35">
        <w:t xml:space="preserve">                                </w:t>
      </w:r>
      <w:r>
        <w:t xml:space="preserve">                </w:t>
      </w:r>
    </w:p>
    <w:tbl>
      <w:tblPr>
        <w:tblW w:w="14701"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86"/>
        <w:gridCol w:w="1498"/>
        <w:gridCol w:w="643"/>
        <w:gridCol w:w="1213"/>
        <w:gridCol w:w="1131"/>
        <w:gridCol w:w="1485"/>
        <w:gridCol w:w="519"/>
        <w:gridCol w:w="1032"/>
        <w:gridCol w:w="851"/>
        <w:gridCol w:w="941"/>
        <w:gridCol w:w="941"/>
        <w:gridCol w:w="941"/>
        <w:gridCol w:w="876"/>
        <w:gridCol w:w="877"/>
      </w:tblGrid>
      <w:tr w:rsidR="00524899" w:rsidRPr="00C833EB" w:rsidTr="00C04002">
        <w:trPr>
          <w:cantSplit/>
          <w:trHeight w:val="232"/>
          <w:tblHeader/>
          <w:jc w:val="center"/>
        </w:trPr>
        <w:tc>
          <w:tcPr>
            <w:tcW w:w="9800" w:type="dxa"/>
            <w:gridSpan w:val="10"/>
            <w:tcBorders>
              <w:top w:val="nil"/>
              <w:left w:val="nil"/>
              <w:bottom w:val="single" w:sz="4" w:space="0" w:color="auto"/>
              <w:right w:val="nil"/>
            </w:tcBorders>
            <w:shd w:val="clear" w:color="auto" w:fill="auto"/>
            <w:noWrap/>
            <w:vAlign w:val="center"/>
          </w:tcPr>
          <w:p w:rsidR="00524899" w:rsidRPr="00CB3AC4" w:rsidRDefault="00524899" w:rsidP="00C04002">
            <w:pPr>
              <w:widowControl/>
              <w:jc w:val="left"/>
              <w:rPr>
                <w:rFonts w:ascii="黑体" w:eastAsia="黑体" w:hAnsi="黑体" w:cs="宋体"/>
                <w:b/>
                <w:bCs/>
                <w:color w:val="000000"/>
                <w:kern w:val="0"/>
              </w:rPr>
            </w:pPr>
            <w:r>
              <w:rPr>
                <w:rFonts w:ascii="宋体" w:hAnsi="宋体"/>
                <w:sz w:val="28"/>
              </w:rPr>
              <w:t>803唐山市城市管理局</w:t>
            </w:r>
          </w:p>
        </w:tc>
        <w:tc>
          <w:tcPr>
            <w:tcW w:w="4901" w:type="dxa"/>
            <w:gridSpan w:val="5"/>
            <w:tcBorders>
              <w:top w:val="nil"/>
              <w:left w:val="nil"/>
              <w:bottom w:val="single" w:sz="4" w:space="0" w:color="auto"/>
              <w:right w:val="nil"/>
            </w:tcBorders>
            <w:shd w:val="clear" w:color="auto" w:fill="auto"/>
            <w:noWrap/>
            <w:vAlign w:val="center"/>
          </w:tcPr>
          <w:p w:rsidR="00524899" w:rsidRPr="00CB3AC4" w:rsidRDefault="00524899" w:rsidP="00C04002">
            <w:pPr>
              <w:widowControl/>
              <w:jc w:val="right"/>
              <w:rPr>
                <w:rFonts w:ascii="黑体" w:eastAsia="黑体" w:hAnsi="黑体" w:cs="宋体"/>
                <w:b/>
                <w:bCs/>
                <w:color w:val="000000"/>
                <w:kern w:val="0"/>
              </w:rPr>
            </w:pPr>
            <w:r w:rsidRPr="00FC1D35">
              <w:rPr>
                <w:rFonts w:ascii="宋体" w:hAnsi="宋体"/>
                <w:sz w:val="24"/>
              </w:rPr>
              <w:t>单位：万元</w:t>
            </w:r>
          </w:p>
        </w:tc>
      </w:tr>
      <w:tr w:rsidR="00524899" w:rsidRPr="00C833EB" w:rsidTr="00C04002">
        <w:trPr>
          <w:cantSplit/>
          <w:trHeight w:val="232"/>
          <w:tblHeader/>
          <w:jc w:val="center"/>
        </w:trPr>
        <w:tc>
          <w:tcPr>
            <w:tcW w:w="1647" w:type="dxa"/>
            <w:vMerge w:val="restart"/>
            <w:tcBorders>
              <w:top w:val="single" w:sz="4" w:space="0" w:color="auto"/>
            </w:tcBorders>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单位名称</w:t>
            </w:r>
          </w:p>
        </w:tc>
        <w:tc>
          <w:tcPr>
            <w:tcW w:w="3403" w:type="dxa"/>
            <w:gridSpan w:val="3"/>
            <w:tcBorders>
              <w:top w:val="single" w:sz="4" w:space="0" w:color="auto"/>
            </w:tcBorders>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所属项目</w:t>
            </w:r>
          </w:p>
        </w:tc>
        <w:tc>
          <w:tcPr>
            <w:tcW w:w="850" w:type="dxa"/>
            <w:vMerge w:val="restart"/>
            <w:tcBorders>
              <w:top w:val="single" w:sz="4" w:space="0" w:color="auto"/>
            </w:tcBorders>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政府采购目录序号</w:t>
            </w:r>
          </w:p>
        </w:tc>
        <w:tc>
          <w:tcPr>
            <w:tcW w:w="1276" w:type="dxa"/>
            <w:vMerge w:val="restart"/>
            <w:tcBorders>
              <w:top w:val="single" w:sz="4" w:space="0" w:color="auto"/>
            </w:tcBorders>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采购物品名称</w:t>
            </w:r>
          </w:p>
        </w:tc>
        <w:tc>
          <w:tcPr>
            <w:tcW w:w="850" w:type="dxa"/>
            <w:vMerge w:val="restart"/>
            <w:tcBorders>
              <w:top w:val="single" w:sz="4" w:space="0" w:color="auto"/>
            </w:tcBorders>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Pr>
                <w:rFonts w:ascii="黑体" w:eastAsia="黑体" w:hAnsi="黑体" w:cs="宋体" w:hint="eastAsia"/>
                <w:b/>
                <w:bCs/>
                <w:color w:val="000000"/>
                <w:kern w:val="0"/>
              </w:rPr>
              <w:t>产品</w:t>
            </w:r>
            <w:r w:rsidRPr="00CB3AC4">
              <w:rPr>
                <w:rFonts w:ascii="黑体" w:eastAsia="黑体" w:hAnsi="黑体" w:cs="宋体" w:hint="eastAsia"/>
                <w:b/>
                <w:bCs/>
                <w:color w:val="000000"/>
                <w:kern w:val="0"/>
              </w:rPr>
              <w:t>规格</w:t>
            </w:r>
          </w:p>
        </w:tc>
        <w:tc>
          <w:tcPr>
            <w:tcW w:w="567" w:type="dxa"/>
            <w:vMerge w:val="restart"/>
            <w:tcBorders>
              <w:top w:val="single" w:sz="4" w:space="0" w:color="auto"/>
            </w:tcBorders>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单位</w:t>
            </w:r>
          </w:p>
        </w:tc>
        <w:tc>
          <w:tcPr>
            <w:tcW w:w="709" w:type="dxa"/>
            <w:vMerge w:val="restart"/>
            <w:tcBorders>
              <w:top w:val="single" w:sz="4" w:space="0" w:color="auto"/>
            </w:tcBorders>
            <w:shd w:val="clear" w:color="auto" w:fill="auto"/>
            <w:noWrap/>
            <w:vAlign w:val="center"/>
          </w:tcPr>
          <w:p w:rsidR="00524899" w:rsidRPr="003E2D58" w:rsidRDefault="00524899" w:rsidP="00C04002">
            <w:pPr>
              <w:widowControl/>
              <w:jc w:val="center"/>
              <w:rPr>
                <w:rFonts w:ascii="黑体" w:eastAsia="黑体" w:hAnsi="黑体" w:cs="宋体"/>
                <w:b/>
                <w:bCs/>
                <w:color w:val="000000"/>
                <w:kern w:val="0"/>
              </w:rPr>
            </w:pPr>
            <w:r w:rsidRPr="00CB3AC4">
              <w:rPr>
                <w:rFonts w:ascii="黑体" w:eastAsia="黑体" w:hAnsi="黑体" w:cs="宋体" w:hint="eastAsia"/>
                <w:b/>
                <w:bCs/>
                <w:color w:val="000000"/>
                <w:kern w:val="0"/>
              </w:rPr>
              <w:t>单价</w:t>
            </w:r>
            <w:r>
              <w:rPr>
                <w:rFonts w:ascii="黑体" w:eastAsia="黑体" w:hAnsi="黑体" w:cs="宋体" w:hint="eastAsia"/>
                <w:b/>
                <w:bCs/>
                <w:color w:val="000000"/>
                <w:kern w:val="0"/>
              </w:rPr>
              <w:t>(元)</w:t>
            </w:r>
          </w:p>
        </w:tc>
        <w:tc>
          <w:tcPr>
            <w:tcW w:w="498" w:type="dxa"/>
            <w:vMerge w:val="restart"/>
            <w:tcBorders>
              <w:top w:val="single" w:sz="4" w:space="0" w:color="auto"/>
            </w:tcBorders>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数量</w:t>
            </w:r>
          </w:p>
        </w:tc>
        <w:tc>
          <w:tcPr>
            <w:tcW w:w="4901" w:type="dxa"/>
            <w:gridSpan w:val="5"/>
            <w:tcBorders>
              <w:top w:val="single" w:sz="4" w:space="0" w:color="auto"/>
            </w:tcBorders>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政府采购金额</w:t>
            </w:r>
          </w:p>
        </w:tc>
      </w:tr>
      <w:tr w:rsidR="00524899" w:rsidRPr="00C833EB" w:rsidTr="00C04002">
        <w:trPr>
          <w:cantSplit/>
          <w:trHeight w:val="232"/>
          <w:tblHeader/>
          <w:jc w:val="center"/>
        </w:trPr>
        <w:tc>
          <w:tcPr>
            <w:tcW w:w="1647"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992" w:type="dxa"/>
            <w:vMerge w:val="restart"/>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功能分类科目编码</w:t>
            </w:r>
          </w:p>
        </w:tc>
        <w:tc>
          <w:tcPr>
            <w:tcW w:w="1701" w:type="dxa"/>
            <w:vMerge w:val="restart"/>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项目名称</w:t>
            </w:r>
          </w:p>
        </w:tc>
        <w:tc>
          <w:tcPr>
            <w:tcW w:w="710" w:type="dxa"/>
            <w:vMerge w:val="restart"/>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项目类型</w:t>
            </w:r>
          </w:p>
        </w:tc>
        <w:tc>
          <w:tcPr>
            <w:tcW w:w="850"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1276"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850"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567"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709"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498"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980" w:type="dxa"/>
            <w:vMerge w:val="restart"/>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总计</w:t>
            </w:r>
          </w:p>
        </w:tc>
        <w:tc>
          <w:tcPr>
            <w:tcW w:w="3921" w:type="dxa"/>
            <w:gridSpan w:val="4"/>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资金来源</w:t>
            </w:r>
          </w:p>
        </w:tc>
      </w:tr>
      <w:tr w:rsidR="00524899" w:rsidRPr="00C833EB" w:rsidTr="00C04002">
        <w:trPr>
          <w:cantSplit/>
          <w:trHeight w:val="373"/>
          <w:tblHeader/>
          <w:jc w:val="center"/>
        </w:trPr>
        <w:tc>
          <w:tcPr>
            <w:tcW w:w="1647"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992"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1701"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710"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850"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1276"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850"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567"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709"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498"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980" w:type="dxa"/>
            <w:vMerge/>
            <w:vAlign w:val="center"/>
          </w:tcPr>
          <w:p w:rsidR="00524899" w:rsidRPr="00C833EB" w:rsidRDefault="00524899" w:rsidP="00C04002">
            <w:pPr>
              <w:widowControl/>
              <w:jc w:val="center"/>
              <w:rPr>
                <w:rFonts w:ascii="黑体" w:eastAsia="黑体" w:hAnsi="黑体" w:cs="宋体"/>
                <w:b/>
                <w:color w:val="000000"/>
                <w:kern w:val="0"/>
              </w:rPr>
            </w:pPr>
          </w:p>
        </w:tc>
        <w:tc>
          <w:tcPr>
            <w:tcW w:w="980" w:type="dxa"/>
            <w:vMerge w:val="restart"/>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一般公共预算拨款安排</w:t>
            </w:r>
          </w:p>
        </w:tc>
        <w:tc>
          <w:tcPr>
            <w:tcW w:w="980" w:type="dxa"/>
            <w:vMerge w:val="restart"/>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Pr>
                <w:rFonts w:ascii="黑体" w:eastAsia="黑体" w:hAnsi="黑体" w:cs="宋体" w:hint="eastAsia"/>
                <w:b/>
                <w:bCs/>
                <w:color w:val="000000"/>
                <w:kern w:val="0"/>
              </w:rPr>
              <w:t>政府性</w:t>
            </w:r>
            <w:r w:rsidRPr="00CB3AC4">
              <w:rPr>
                <w:rFonts w:ascii="黑体" w:eastAsia="黑体" w:hAnsi="黑体" w:cs="宋体" w:hint="eastAsia"/>
                <w:b/>
                <w:bCs/>
                <w:color w:val="000000"/>
                <w:kern w:val="0"/>
              </w:rPr>
              <w:t>基金预算拨款安排</w:t>
            </w:r>
          </w:p>
        </w:tc>
        <w:tc>
          <w:tcPr>
            <w:tcW w:w="980" w:type="dxa"/>
            <w:vMerge w:val="restart"/>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Pr>
                <w:rFonts w:ascii="黑体" w:eastAsia="黑体" w:hAnsi="黑体" w:cs="宋体" w:hint="eastAsia"/>
                <w:b/>
                <w:color w:val="000000"/>
                <w:kern w:val="0"/>
              </w:rPr>
              <w:t>国有资本经营预算拨款安排</w:t>
            </w:r>
          </w:p>
        </w:tc>
        <w:tc>
          <w:tcPr>
            <w:tcW w:w="981" w:type="dxa"/>
            <w:vMerge w:val="restart"/>
            <w:shd w:val="clear" w:color="auto" w:fill="auto"/>
            <w:noWrap/>
            <w:vAlign w:val="center"/>
          </w:tcPr>
          <w:p w:rsidR="00524899" w:rsidRPr="00C833EB" w:rsidRDefault="00524899" w:rsidP="00C04002">
            <w:pPr>
              <w:widowControl/>
              <w:jc w:val="center"/>
              <w:rPr>
                <w:rFonts w:ascii="黑体" w:eastAsia="黑体" w:hAnsi="黑体" w:cs="宋体"/>
                <w:b/>
                <w:color w:val="000000"/>
                <w:kern w:val="0"/>
              </w:rPr>
            </w:pPr>
            <w:r w:rsidRPr="00CB3AC4">
              <w:rPr>
                <w:rFonts w:ascii="黑体" w:eastAsia="黑体" w:hAnsi="黑体" w:cs="宋体" w:hint="eastAsia"/>
                <w:b/>
                <w:bCs/>
                <w:color w:val="000000"/>
                <w:kern w:val="0"/>
              </w:rPr>
              <w:t>其他来源收入安排</w:t>
            </w:r>
          </w:p>
        </w:tc>
      </w:tr>
      <w:tr w:rsidR="00524899" w:rsidRPr="00C833EB" w:rsidTr="00C04002">
        <w:trPr>
          <w:cantSplit/>
          <w:trHeight w:val="373"/>
          <w:tblHeader/>
          <w:jc w:val="center"/>
        </w:trPr>
        <w:tc>
          <w:tcPr>
            <w:tcW w:w="1647" w:type="dxa"/>
            <w:vMerge/>
            <w:vAlign w:val="center"/>
          </w:tcPr>
          <w:p w:rsidR="00524899" w:rsidRPr="00C833EB" w:rsidRDefault="00524899" w:rsidP="00C04002">
            <w:pPr>
              <w:widowControl/>
              <w:jc w:val="center"/>
              <w:rPr>
                <w:rFonts w:ascii="宋体" w:hAnsi="宋体" w:cs="宋体"/>
                <w:color w:val="000000"/>
                <w:kern w:val="0"/>
                <w:sz w:val="22"/>
              </w:rPr>
            </w:pPr>
          </w:p>
        </w:tc>
        <w:tc>
          <w:tcPr>
            <w:tcW w:w="992" w:type="dxa"/>
            <w:vMerge/>
            <w:vAlign w:val="center"/>
          </w:tcPr>
          <w:p w:rsidR="00524899" w:rsidRPr="00C833EB" w:rsidRDefault="00524899" w:rsidP="00C04002">
            <w:pPr>
              <w:widowControl/>
              <w:jc w:val="center"/>
              <w:rPr>
                <w:rFonts w:ascii="宋体" w:hAnsi="宋体" w:cs="宋体"/>
                <w:color w:val="000000"/>
                <w:kern w:val="0"/>
                <w:sz w:val="22"/>
              </w:rPr>
            </w:pPr>
          </w:p>
        </w:tc>
        <w:tc>
          <w:tcPr>
            <w:tcW w:w="1701" w:type="dxa"/>
            <w:vMerge/>
            <w:vAlign w:val="center"/>
          </w:tcPr>
          <w:p w:rsidR="00524899" w:rsidRPr="00C833EB" w:rsidRDefault="00524899" w:rsidP="00C04002">
            <w:pPr>
              <w:widowControl/>
              <w:jc w:val="center"/>
              <w:rPr>
                <w:rFonts w:ascii="宋体" w:hAnsi="宋体" w:cs="宋体"/>
                <w:color w:val="000000"/>
                <w:kern w:val="0"/>
                <w:sz w:val="22"/>
              </w:rPr>
            </w:pPr>
          </w:p>
        </w:tc>
        <w:tc>
          <w:tcPr>
            <w:tcW w:w="710" w:type="dxa"/>
            <w:vMerge/>
            <w:vAlign w:val="center"/>
          </w:tcPr>
          <w:p w:rsidR="00524899" w:rsidRPr="00C833EB" w:rsidRDefault="00524899" w:rsidP="00C04002">
            <w:pPr>
              <w:widowControl/>
              <w:jc w:val="center"/>
              <w:rPr>
                <w:rFonts w:ascii="宋体" w:hAnsi="宋体" w:cs="宋体"/>
                <w:color w:val="000000"/>
                <w:kern w:val="0"/>
                <w:sz w:val="22"/>
              </w:rPr>
            </w:pPr>
          </w:p>
        </w:tc>
        <w:tc>
          <w:tcPr>
            <w:tcW w:w="850" w:type="dxa"/>
            <w:vMerge/>
            <w:vAlign w:val="center"/>
          </w:tcPr>
          <w:p w:rsidR="00524899" w:rsidRPr="00C833EB" w:rsidRDefault="00524899" w:rsidP="00C04002">
            <w:pPr>
              <w:widowControl/>
              <w:jc w:val="center"/>
              <w:rPr>
                <w:rFonts w:ascii="宋体" w:hAnsi="宋体" w:cs="宋体"/>
                <w:color w:val="000000"/>
                <w:kern w:val="0"/>
                <w:sz w:val="22"/>
              </w:rPr>
            </w:pPr>
          </w:p>
        </w:tc>
        <w:tc>
          <w:tcPr>
            <w:tcW w:w="1276" w:type="dxa"/>
            <w:vMerge/>
            <w:vAlign w:val="center"/>
          </w:tcPr>
          <w:p w:rsidR="00524899" w:rsidRPr="00C833EB" w:rsidRDefault="00524899" w:rsidP="00C04002">
            <w:pPr>
              <w:widowControl/>
              <w:jc w:val="center"/>
              <w:rPr>
                <w:rFonts w:ascii="宋体" w:hAnsi="宋体" w:cs="宋体"/>
                <w:color w:val="000000"/>
                <w:kern w:val="0"/>
                <w:sz w:val="22"/>
              </w:rPr>
            </w:pPr>
          </w:p>
        </w:tc>
        <w:tc>
          <w:tcPr>
            <w:tcW w:w="850" w:type="dxa"/>
            <w:vMerge/>
            <w:vAlign w:val="center"/>
          </w:tcPr>
          <w:p w:rsidR="00524899" w:rsidRPr="00C833EB" w:rsidRDefault="00524899" w:rsidP="00C04002">
            <w:pPr>
              <w:widowControl/>
              <w:jc w:val="center"/>
              <w:rPr>
                <w:rFonts w:ascii="宋体" w:hAnsi="宋体" w:cs="宋体"/>
                <w:color w:val="000000"/>
                <w:kern w:val="0"/>
                <w:sz w:val="22"/>
              </w:rPr>
            </w:pPr>
          </w:p>
        </w:tc>
        <w:tc>
          <w:tcPr>
            <w:tcW w:w="567" w:type="dxa"/>
            <w:vMerge/>
            <w:vAlign w:val="center"/>
          </w:tcPr>
          <w:p w:rsidR="00524899" w:rsidRPr="00C833EB" w:rsidRDefault="00524899" w:rsidP="00C04002">
            <w:pPr>
              <w:widowControl/>
              <w:jc w:val="center"/>
              <w:rPr>
                <w:rFonts w:ascii="宋体" w:hAnsi="宋体" w:cs="宋体"/>
                <w:color w:val="000000"/>
                <w:kern w:val="0"/>
                <w:sz w:val="22"/>
              </w:rPr>
            </w:pPr>
          </w:p>
        </w:tc>
        <w:tc>
          <w:tcPr>
            <w:tcW w:w="709" w:type="dxa"/>
            <w:vMerge/>
            <w:vAlign w:val="center"/>
          </w:tcPr>
          <w:p w:rsidR="00524899" w:rsidRPr="00C833EB" w:rsidRDefault="00524899" w:rsidP="00C04002">
            <w:pPr>
              <w:widowControl/>
              <w:jc w:val="center"/>
              <w:rPr>
                <w:rFonts w:ascii="宋体" w:hAnsi="宋体" w:cs="宋体"/>
                <w:color w:val="000000"/>
                <w:kern w:val="0"/>
                <w:sz w:val="22"/>
              </w:rPr>
            </w:pPr>
          </w:p>
        </w:tc>
        <w:tc>
          <w:tcPr>
            <w:tcW w:w="498" w:type="dxa"/>
            <w:vMerge/>
            <w:vAlign w:val="center"/>
          </w:tcPr>
          <w:p w:rsidR="00524899" w:rsidRPr="00C833EB" w:rsidRDefault="00524899" w:rsidP="00C04002">
            <w:pPr>
              <w:widowControl/>
              <w:jc w:val="center"/>
              <w:rPr>
                <w:rFonts w:ascii="宋体" w:hAnsi="宋体" w:cs="宋体"/>
                <w:color w:val="000000"/>
                <w:kern w:val="0"/>
                <w:sz w:val="22"/>
              </w:rPr>
            </w:pPr>
          </w:p>
        </w:tc>
        <w:tc>
          <w:tcPr>
            <w:tcW w:w="980" w:type="dxa"/>
            <w:vMerge/>
            <w:vAlign w:val="center"/>
          </w:tcPr>
          <w:p w:rsidR="00524899" w:rsidRPr="00C833EB" w:rsidRDefault="00524899" w:rsidP="00C04002">
            <w:pPr>
              <w:widowControl/>
              <w:jc w:val="center"/>
              <w:rPr>
                <w:rFonts w:ascii="宋体" w:hAnsi="宋体" w:cs="宋体"/>
                <w:color w:val="000000"/>
                <w:kern w:val="0"/>
                <w:sz w:val="22"/>
              </w:rPr>
            </w:pPr>
          </w:p>
        </w:tc>
        <w:tc>
          <w:tcPr>
            <w:tcW w:w="980" w:type="dxa"/>
            <w:vMerge/>
            <w:vAlign w:val="center"/>
          </w:tcPr>
          <w:p w:rsidR="00524899" w:rsidRPr="00C833EB" w:rsidRDefault="00524899" w:rsidP="00C04002">
            <w:pPr>
              <w:widowControl/>
              <w:jc w:val="center"/>
              <w:rPr>
                <w:rFonts w:ascii="宋体" w:hAnsi="宋体" w:cs="宋体"/>
                <w:color w:val="000000"/>
                <w:kern w:val="0"/>
                <w:sz w:val="22"/>
              </w:rPr>
            </w:pPr>
          </w:p>
        </w:tc>
        <w:tc>
          <w:tcPr>
            <w:tcW w:w="980" w:type="dxa"/>
            <w:vMerge/>
            <w:vAlign w:val="center"/>
          </w:tcPr>
          <w:p w:rsidR="00524899" w:rsidRPr="00C833EB" w:rsidRDefault="00524899" w:rsidP="00C04002">
            <w:pPr>
              <w:widowControl/>
              <w:jc w:val="center"/>
              <w:rPr>
                <w:rFonts w:ascii="宋体" w:hAnsi="宋体" w:cs="宋体"/>
                <w:color w:val="000000"/>
                <w:kern w:val="0"/>
                <w:sz w:val="22"/>
              </w:rPr>
            </w:pPr>
          </w:p>
        </w:tc>
        <w:tc>
          <w:tcPr>
            <w:tcW w:w="980" w:type="dxa"/>
            <w:vMerge/>
            <w:vAlign w:val="center"/>
          </w:tcPr>
          <w:p w:rsidR="00524899" w:rsidRPr="00C833EB" w:rsidRDefault="00524899" w:rsidP="00C04002">
            <w:pPr>
              <w:widowControl/>
              <w:jc w:val="center"/>
              <w:rPr>
                <w:rFonts w:ascii="宋体" w:hAnsi="宋体" w:cs="宋体"/>
                <w:color w:val="000000"/>
                <w:kern w:val="0"/>
                <w:sz w:val="22"/>
              </w:rPr>
            </w:pPr>
          </w:p>
        </w:tc>
        <w:tc>
          <w:tcPr>
            <w:tcW w:w="981" w:type="dxa"/>
            <w:vMerge/>
            <w:vAlign w:val="center"/>
          </w:tcPr>
          <w:p w:rsidR="00524899" w:rsidRPr="00C833EB" w:rsidRDefault="00524899" w:rsidP="00C04002">
            <w:pPr>
              <w:widowControl/>
              <w:jc w:val="center"/>
              <w:rPr>
                <w:rFonts w:ascii="宋体" w:hAnsi="宋体" w:cs="宋体"/>
                <w:color w:val="000000"/>
                <w:kern w:val="0"/>
                <w:sz w:val="22"/>
              </w:rPr>
            </w:pPr>
          </w:p>
        </w:tc>
      </w:tr>
      <w:tr w:rsidR="00524899" w:rsidRPr="003403D0" w:rsidTr="00C04002">
        <w:trPr>
          <w:cantSplit/>
          <w:trHeight w:val="312"/>
          <w:tblHeader/>
          <w:jc w:val="center"/>
        </w:trPr>
        <w:tc>
          <w:tcPr>
            <w:tcW w:w="1647" w:type="dxa"/>
            <w:vMerge/>
            <w:shd w:val="clear" w:color="auto" w:fill="auto"/>
            <w:vAlign w:val="center"/>
          </w:tcPr>
          <w:p w:rsidR="00524899" w:rsidRPr="003403D0" w:rsidRDefault="00524899" w:rsidP="00C04002">
            <w:pPr>
              <w:widowControl/>
              <w:jc w:val="left"/>
              <w:rPr>
                <w:rFonts w:ascii="宋体" w:hAnsi="宋体" w:cs="宋体"/>
                <w:color w:val="000000"/>
                <w:kern w:val="0"/>
              </w:rPr>
            </w:pPr>
          </w:p>
        </w:tc>
        <w:tc>
          <w:tcPr>
            <w:tcW w:w="992" w:type="dxa"/>
            <w:vMerge/>
            <w:shd w:val="clear" w:color="auto" w:fill="auto"/>
            <w:vAlign w:val="center"/>
          </w:tcPr>
          <w:p w:rsidR="00524899" w:rsidRPr="003403D0" w:rsidRDefault="00524899" w:rsidP="00C04002">
            <w:pPr>
              <w:widowControl/>
              <w:jc w:val="left"/>
              <w:rPr>
                <w:rFonts w:ascii="宋体" w:hAnsi="宋体" w:cs="宋体"/>
                <w:color w:val="000000"/>
                <w:kern w:val="0"/>
              </w:rPr>
            </w:pPr>
          </w:p>
        </w:tc>
        <w:tc>
          <w:tcPr>
            <w:tcW w:w="1701" w:type="dxa"/>
            <w:vMerge/>
            <w:shd w:val="clear" w:color="auto" w:fill="auto"/>
            <w:vAlign w:val="center"/>
          </w:tcPr>
          <w:p w:rsidR="00524899" w:rsidRPr="003403D0" w:rsidRDefault="00524899" w:rsidP="00C04002">
            <w:pPr>
              <w:widowControl/>
              <w:jc w:val="left"/>
              <w:rPr>
                <w:rFonts w:ascii="宋体" w:hAnsi="宋体" w:cs="宋体"/>
                <w:color w:val="000000"/>
                <w:kern w:val="0"/>
              </w:rPr>
            </w:pPr>
          </w:p>
        </w:tc>
        <w:tc>
          <w:tcPr>
            <w:tcW w:w="710" w:type="dxa"/>
            <w:vMerge/>
            <w:shd w:val="clear" w:color="auto" w:fill="auto"/>
            <w:vAlign w:val="center"/>
          </w:tcPr>
          <w:p w:rsidR="00524899" w:rsidRPr="003403D0" w:rsidRDefault="00524899" w:rsidP="00C04002">
            <w:pPr>
              <w:widowControl/>
              <w:jc w:val="left"/>
              <w:rPr>
                <w:rFonts w:ascii="宋体" w:hAnsi="宋体" w:cs="宋体"/>
                <w:color w:val="000000"/>
                <w:kern w:val="0"/>
              </w:rPr>
            </w:pPr>
          </w:p>
        </w:tc>
        <w:tc>
          <w:tcPr>
            <w:tcW w:w="850" w:type="dxa"/>
            <w:vMerge/>
            <w:shd w:val="clear" w:color="auto" w:fill="auto"/>
            <w:vAlign w:val="center"/>
          </w:tcPr>
          <w:p w:rsidR="00524899" w:rsidRPr="003403D0" w:rsidRDefault="00524899" w:rsidP="00C04002">
            <w:pPr>
              <w:widowControl/>
              <w:jc w:val="left"/>
              <w:rPr>
                <w:rFonts w:ascii="宋体" w:hAnsi="宋体" w:cs="宋体"/>
                <w:color w:val="000000"/>
                <w:kern w:val="0"/>
              </w:rPr>
            </w:pPr>
          </w:p>
        </w:tc>
        <w:tc>
          <w:tcPr>
            <w:tcW w:w="1276" w:type="dxa"/>
            <w:vMerge/>
            <w:shd w:val="clear" w:color="auto" w:fill="auto"/>
            <w:vAlign w:val="center"/>
          </w:tcPr>
          <w:p w:rsidR="00524899" w:rsidRPr="003403D0" w:rsidRDefault="00524899" w:rsidP="00C04002">
            <w:pPr>
              <w:widowControl/>
              <w:jc w:val="left"/>
              <w:rPr>
                <w:rFonts w:ascii="宋体" w:hAnsi="宋体" w:cs="宋体"/>
                <w:color w:val="000000"/>
                <w:kern w:val="0"/>
              </w:rPr>
            </w:pPr>
          </w:p>
        </w:tc>
        <w:tc>
          <w:tcPr>
            <w:tcW w:w="850" w:type="dxa"/>
            <w:vMerge/>
            <w:shd w:val="clear" w:color="auto" w:fill="auto"/>
            <w:vAlign w:val="center"/>
          </w:tcPr>
          <w:p w:rsidR="00524899" w:rsidRPr="003403D0" w:rsidRDefault="00524899" w:rsidP="00C04002">
            <w:pPr>
              <w:widowControl/>
              <w:jc w:val="left"/>
              <w:rPr>
                <w:rFonts w:ascii="宋体" w:hAnsi="宋体" w:cs="宋体"/>
                <w:color w:val="000000"/>
                <w:kern w:val="0"/>
              </w:rPr>
            </w:pPr>
          </w:p>
        </w:tc>
        <w:tc>
          <w:tcPr>
            <w:tcW w:w="567" w:type="dxa"/>
            <w:vMerge/>
            <w:shd w:val="clear" w:color="auto" w:fill="auto"/>
            <w:vAlign w:val="center"/>
          </w:tcPr>
          <w:p w:rsidR="00524899" w:rsidRPr="003403D0" w:rsidRDefault="00524899" w:rsidP="00C04002">
            <w:pPr>
              <w:widowControl/>
              <w:jc w:val="left"/>
              <w:rPr>
                <w:rFonts w:ascii="宋体" w:hAnsi="宋体" w:cs="宋体"/>
                <w:color w:val="000000"/>
                <w:kern w:val="0"/>
              </w:rPr>
            </w:pPr>
          </w:p>
        </w:tc>
        <w:tc>
          <w:tcPr>
            <w:tcW w:w="709" w:type="dxa"/>
            <w:vMerge/>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498" w:type="dxa"/>
            <w:vMerge/>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vMerge/>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vMerge/>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vMerge/>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vMerge/>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vMerge/>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 xml:space="preserve">    合计</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30369.67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15369.67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3.15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3.15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笔记本电脑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A02010105</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便携式计算机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笔记本电脑</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1.80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1.80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彩色打印机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A0201060101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喷墨打印机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彩色喷墨打印机</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黑白打印机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A0201060102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激光打印机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双面黑白激光打印机</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2600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复印机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复印机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A3纸</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密码文件柜</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A060503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金属质柜类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保密文件柜</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录音笔</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A032506</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技术侦察取证设备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索尼</w:t>
            </w:r>
            <w:r>
              <w:rPr>
                <w:rFonts w:ascii="宋体" w:hAnsi="宋体" w:cs="宋体"/>
                <w:color w:val="000000"/>
                <w:kern w:val="0"/>
              </w:rPr>
              <w:t>8G</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站前管委会购置智能高清一体车牌识别管理系统</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其他办公设备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45000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站前管委会购置监控设施系统</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其他办公设备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站前管委会购置执法记录仪</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A032506</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技术侦察取证设备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1.80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1.80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传真机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A02081001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传真通信设备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0.16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0.16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宽带租赁费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C0399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其他电信和信息传输服务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26000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2.60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2.60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站前管委会网络租赁费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C0399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其他电信和信息传输服务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办公楼修缮</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B0801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房屋修缮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印刷费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C08140199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其他印刷服务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51400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5.14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5.14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2010102</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站前管委会办公用房租赁费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C0499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其他租赁服务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350000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银河路立交桥泵站及出水管线工程</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B0604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供水管道工程和下水道铺设</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.1</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立方米</w:t>
            </w:r>
            <w:r>
              <w:rPr>
                <w:rFonts w:ascii="宋体" w:hAnsi="宋体" w:cs="宋体"/>
                <w:color w:val="000000"/>
                <w:kern w:val="0"/>
              </w:rPr>
              <w:t>/座</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银河路立交桥泵站及出水管线工程</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B0604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供水管道工程和下水道铺设</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DN1200</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公里</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7500000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建华道雨水管网改造项目</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B021399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其他市政工程施工</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DN600</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公里</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6700000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134.00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134.00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立交桥自动检测系统级防汛指挥中心设备完善</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A033499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其他专用仪器仪表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立交桥自动检测系统级防汛指挥中心设备完善</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A033499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其他专用仪器仪表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立交桥自动检测系统级防汛指挥中心设备完善</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A030999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其他工程机械</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2120303</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新华道雨水管网项目</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B020903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城市防洪工程施工</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DN800</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公里</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168.00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168.00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河茵路雨水</w:t>
            </w:r>
            <w:proofErr w:type="gramEnd"/>
            <w:r>
              <w:rPr>
                <w:rFonts w:ascii="宋体" w:hAnsi="宋体" w:cs="宋体" w:hint="eastAsia"/>
                <w:color w:val="000000"/>
                <w:kern w:val="0"/>
              </w:rPr>
              <w:t>管网改造项目</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B0599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其他专业施工</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3795000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379.50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379.50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新华道（青龙</w:t>
            </w:r>
            <w:proofErr w:type="gramStart"/>
            <w:r>
              <w:rPr>
                <w:rFonts w:ascii="宋体" w:hAnsi="宋体" w:cs="宋体" w:hint="eastAsia"/>
                <w:color w:val="000000"/>
                <w:kern w:val="0"/>
              </w:rPr>
              <w:t>河—启新</w:t>
            </w:r>
            <w:proofErr w:type="gramEnd"/>
            <w:r>
              <w:rPr>
                <w:rFonts w:ascii="宋体" w:hAnsi="宋体" w:cs="宋体" w:hint="eastAsia"/>
                <w:color w:val="000000"/>
                <w:kern w:val="0"/>
              </w:rPr>
              <w:t>立交桥）段雨水收水井改造工程</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B0599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其他专业施工</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2600000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260.00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260.00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2121401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市区污水处理运营服务费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C1302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市政公共设施管理服务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污水处理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执法记录仪</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A032506</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技术侦察取证设备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27.90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27.90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激光打印机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A0201060102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激光打印机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黑白激光</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电视机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A02091001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普通电视设备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0.30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0.30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双层床</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A060199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其他床类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网络租赁费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C0399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其他电信和信息传输服务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67856</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6.79</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6.79</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执法文书印刷费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C08140199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其他印刷服务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执法大队房屋租赁费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C0499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其他租赁服务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办公用房</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910500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91.05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91.05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小广告治理专项经费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C1304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城市市容管理服务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净化</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造价咨询费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C1008</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工程造价咨询服务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排水鉴定费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C0908</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其他专业技术服务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国产</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唐山市城市管理局（执法大队）</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预留执法人员服装费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A07030101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制服</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5080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25.40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25.40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唐山市数字化城市管理指挥调度中心</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符合国家规定标准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唐山市数字化城市管理指挥调度中心</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网络传输费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C0499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其他租赁服务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数字电路，互联网电路，</w:t>
            </w:r>
            <w:r>
              <w:rPr>
                <w:rFonts w:ascii="宋体" w:hAnsi="宋体" w:cs="宋体"/>
                <w:color w:val="000000"/>
                <w:kern w:val="0"/>
              </w:rPr>
              <w:t>VPN线路，裸</w:t>
            </w:r>
            <w:proofErr w:type="gramStart"/>
            <w:r>
              <w:rPr>
                <w:rFonts w:ascii="宋体" w:hAnsi="宋体" w:cs="宋体"/>
                <w:color w:val="000000"/>
                <w:kern w:val="0"/>
              </w:rPr>
              <w:t>纤</w:t>
            </w:r>
            <w:proofErr w:type="gramEnd"/>
            <w:r>
              <w:rPr>
                <w:rFonts w:ascii="宋体" w:hAnsi="宋体" w:cs="宋体"/>
                <w:color w:val="000000"/>
                <w:kern w:val="0"/>
              </w:rPr>
              <w:t>线路</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270000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27.00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27.00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唐山市数字化城市管理指挥调度中心</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数字城管软件系统运行维护费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C020603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软件运维服务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保障系统的稳定运行和功能修改完善</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唐山市数字化城市管理指挥调度中心</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2120104</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印刷费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C08140199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其他印刷服务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210*285mm</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本</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购置台式电脑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联想</w:t>
            </w:r>
            <w:r>
              <w:rPr>
                <w:rFonts w:ascii="宋体" w:hAnsi="宋体" w:cs="宋体"/>
                <w:color w:val="000000"/>
                <w:kern w:val="0"/>
              </w:rPr>
              <w:t>T4900</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2.80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2.80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唐山市园林绿化管理局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购置打印机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A0201060102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激光打印机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佳能</w:t>
            </w:r>
            <w:r>
              <w:rPr>
                <w:rFonts w:ascii="宋体" w:hAnsi="宋体" w:cs="宋体"/>
                <w:color w:val="000000"/>
                <w:kern w:val="0"/>
              </w:rPr>
              <w:t>2900+</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1200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购置碎纸机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A02021101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碎纸机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科密黑</w:t>
            </w:r>
            <w:proofErr w:type="gramStart"/>
            <w:r>
              <w:rPr>
                <w:rFonts w:ascii="宋体" w:hAnsi="宋体" w:cs="宋体" w:hint="eastAsia"/>
                <w:color w:val="000000"/>
                <w:kern w:val="0"/>
              </w:rPr>
              <w:t>金钢</w:t>
            </w:r>
            <w:proofErr w:type="gramEnd"/>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财务处购台式电脑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联想</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财务处购笔记本电脑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A02010105</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便携式计算机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联想笔记本：</w:t>
            </w:r>
            <w:r>
              <w:rPr>
                <w:rFonts w:ascii="宋体" w:hAnsi="宋体" w:cs="宋体"/>
                <w:color w:val="000000"/>
                <w:kern w:val="0"/>
              </w:rPr>
              <w:t>ThinkPad E460 20ET0040CD</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0.60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0.60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唐山动物园票务印制费用</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A080205</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票据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成人门票</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张</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唐山动物园票务印制费用</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A080205</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票据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宣传册导游图</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张</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唐山动物园票务印制费用</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A080205</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票据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儿童票门票</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张</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唐山动物园饲料经费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A150112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水果、坚果加工品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花生、瓜子、核桃、大枣等</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斤</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83000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83.00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83.00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唐山动物园饲料经费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A150107</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畜禽肉</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牛肉、羊肉或其他优质动物肉</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斤</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26</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186923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486.00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486.00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唐山动物园饲料经费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A150199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其他农副食品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玉米、麸皮、豆</w:t>
            </w:r>
            <w:proofErr w:type="gramStart"/>
            <w:r>
              <w:rPr>
                <w:rFonts w:ascii="宋体" w:hAnsi="宋体" w:cs="宋体" w:hint="eastAsia"/>
                <w:color w:val="000000"/>
                <w:kern w:val="0"/>
              </w:rPr>
              <w:t>粕</w:t>
            </w:r>
            <w:proofErr w:type="gramEnd"/>
            <w:r>
              <w:rPr>
                <w:rFonts w:ascii="宋体" w:hAnsi="宋体" w:cs="宋体" w:hint="eastAsia"/>
                <w:color w:val="000000"/>
                <w:kern w:val="0"/>
              </w:rPr>
              <w:t>、大麦等各种杂粮</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斤</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216250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86.50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86.50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唐山动物园饲料经费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A150104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饲料</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羊草、苜蓿、干柞树叶等</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斤</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1752000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350.40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350.40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唐山动物园饲料经费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A150112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水果、坚果加工品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苹果、香蕉、梨等应季水果</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斤</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182500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73.00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73.00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唐山动物园饲料经费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A150107</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畜禽肉</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活鸡或兔、鸡蛋、鸽子、小白鼠等</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斤</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76000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76.00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76.00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唐山动物园饲料经费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A150111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蔬菜加工品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胡萝卜、圆白菜、大白菜等应季蔬菜</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斤</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539000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161.70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161.70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唐山动物园饲料经费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A12050101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海水养殖鱼</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新鲜活淡水鱼、虾及冷冻海鱼</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斤</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78000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78.00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78.00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唐山动物园饲料经费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A150299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其他食品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盐砖、食盐、微量元素、骨粉等</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斤</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72000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36.00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36.00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唐山动物园饲料经费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A150104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饲料</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动物饲料配方更改</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斤</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55000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唐山动物园绿化养护费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B021502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园林绿化工程施工</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绿化养护</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17200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12.04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12.04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唐山动物园绿化养护费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B021502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园林绿化工程施工</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绿化养护</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310775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217.54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217.54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唐山动物园绿化养护费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B021502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园林绿化工程施工</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行道树养护</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36</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3947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14.17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14.17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唐山动物园安保服务费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C1303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园林绿化管理服务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保安</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唐山动物园动物饲养、饲料加工消耗品</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A031099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其他农业和林业机械</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见说明</w:t>
            </w:r>
            <w:proofErr w:type="gramEnd"/>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889100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88.91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88.91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唐山动物园动物饲养、饲料加工消耗品</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A090599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其他清洁用具</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见说明</w:t>
            </w:r>
            <w:proofErr w:type="gramEnd"/>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330300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33.03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33.03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唐山动物园动物饲养、饲料加工消耗品</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A0999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其他办公消耗用品及类似物品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见说明</w:t>
            </w:r>
            <w:proofErr w:type="gramEnd"/>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154600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15.46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15.46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唐山动物园工作服费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A070399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其他被服装具</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秋季工作服</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220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233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5.13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5.13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唐山动物园工作服费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A070399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其他被服装具</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春季工作服</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套</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180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233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4.19</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4.19</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陡河青龙</w:t>
            </w:r>
            <w:proofErr w:type="gramStart"/>
            <w:r>
              <w:rPr>
                <w:rFonts w:ascii="宋体" w:hAnsi="宋体" w:cs="宋体" w:hint="eastAsia"/>
                <w:color w:val="000000"/>
                <w:kern w:val="0"/>
              </w:rPr>
              <w:t>诃</w:t>
            </w:r>
            <w:proofErr w:type="gramEnd"/>
            <w:r>
              <w:rPr>
                <w:rFonts w:ascii="宋体" w:hAnsi="宋体" w:cs="宋体" w:hint="eastAsia"/>
                <w:color w:val="000000"/>
                <w:kern w:val="0"/>
              </w:rPr>
              <w:t>防洪排涝综合整治园林绿化工作量经费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园林绿化养护</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3104000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310.40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310.40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陡河青龙河防洪排涝综合整治市政环卫工作量经费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A0999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其他办公消耗用品及类似物品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果皮箱</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唐山市园林绿化管理处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人民公园养护经费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养护经费</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615900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61.59</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61.59</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购打印复印一体机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多功能一体机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佳能</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13800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传真一体机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多功能一体机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兄弟</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1400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0.14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0.14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购台式电脑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联想</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2700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w:t>
            </w:r>
            <w:r>
              <w:rPr>
                <w:rFonts w:ascii="宋体" w:hAnsi="宋体" w:cs="宋体"/>
                <w:color w:val="000000"/>
                <w:kern w:val="0"/>
              </w:rPr>
              <w:t>A4打印机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A0201060102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激光打印机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佳能</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1100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0.33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0.33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w:t>
            </w:r>
            <w:r>
              <w:rPr>
                <w:rFonts w:ascii="宋体" w:hAnsi="宋体" w:cs="宋体"/>
                <w:color w:val="000000"/>
                <w:kern w:val="0"/>
              </w:rPr>
              <w:t>A3打印机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A0201060102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激光打印机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佳能</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5400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w:t>
            </w:r>
            <w:r>
              <w:rPr>
                <w:rFonts w:ascii="宋体" w:hAnsi="宋体" w:cs="宋体"/>
                <w:color w:val="000000"/>
                <w:kern w:val="0"/>
              </w:rPr>
              <w:t>2匹空调</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A0206180203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空调机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格力</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5400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w:t>
            </w:r>
            <w:r>
              <w:rPr>
                <w:rFonts w:ascii="宋体" w:hAnsi="宋体" w:cs="宋体"/>
                <w:color w:val="000000"/>
                <w:kern w:val="0"/>
              </w:rPr>
              <w:t>1匹空调</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A0206180203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空调机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格力</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2200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1.76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1.76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购饮水机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A02061807</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饮水器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350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0.35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0.35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购微型执法记录仪</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A02091102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通用摄像机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高清</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购保险柜</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其他办公设备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虎牌</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购洗衣机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A02061899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其他生活用电器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海尔</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1200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购数码相机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A0202050102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通用照相机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佳能</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购办公桌</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A060205</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木制台、</w:t>
            </w:r>
            <w:proofErr w:type="gramStart"/>
            <w:r>
              <w:rPr>
                <w:rFonts w:ascii="宋体" w:hAnsi="宋体" w:cs="宋体" w:hint="eastAsia"/>
                <w:color w:val="000000"/>
                <w:kern w:val="0"/>
              </w:rPr>
              <w:t>桌类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1.4米</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张</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650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购弓形椅</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A060301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金属骨架为主的椅凳类</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弓形椅</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把</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购办公椅</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A060301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金属骨架为主的椅凳类</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环保皮或网眼</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把</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0.30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0.30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购车道转椅</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A060301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金属骨架为主的椅凳类</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转椅</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把</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680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购单人床</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A060103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轻金属床类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铁制</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张</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280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0.17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0.17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购上下铺铁床</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A060103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轻金属床类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上下铺铁制</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张</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750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购五节柜</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A060503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金属质柜类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五节柜</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组</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850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1.28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1.28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购文件柜</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A060503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金属质柜类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文件柜</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850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2.98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2.98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购通体文件柜</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A060503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金属质柜类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文件柜</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购更衣柜</w:t>
            </w:r>
            <w:proofErr w:type="gramEnd"/>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A060503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金属质柜类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更衣柜</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组</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1100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购会议椅</w:t>
            </w:r>
            <w:proofErr w:type="gramEnd"/>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A060302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木骨架为主的椅凳类</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木制</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把</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0.80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0.80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购长条凳</w:t>
            </w:r>
            <w:proofErr w:type="gramEnd"/>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A060301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金属骨架为主的椅凳类</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长条凳</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450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购货架</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A060602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金属质架类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货架</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组</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购食堂设备</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A031210</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饮食炊事机械</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10300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购清扫车款</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A0203072899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其他清洁卫生车辆</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5607000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560.70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560.70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支付质保金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A032205</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公路行业安全设备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83600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8.36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8.36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路灯日常维修费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C0599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其他维修和保养服务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收费系统软件维护</w:t>
            </w:r>
            <w:r>
              <w:rPr>
                <w:rFonts w:ascii="宋体" w:hAnsi="宋体" w:cs="宋体"/>
                <w:color w:val="000000"/>
                <w:kern w:val="0"/>
              </w:rPr>
              <w:t xml:space="preserve"> 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C020603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软件运维服务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收费站、泵站粉刷工程</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B0899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其他建筑物、构筑物修缮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208600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20.86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20.86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印刷费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A080299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其他印刷品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桥梁检测</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C0901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技术测试和分析服务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517600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51.76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51.76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购取暖用油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A160103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柴油</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0号-10号-20号</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1560000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156.00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156.00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购应急发电柴油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A160103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柴油</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0号-10号-20号</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防雷检测</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C0901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技术测试和分析服务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通勤车租赁费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C0403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车辆及其他运输机械租赁服务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公众责任险和团体意外伤害险</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C15040299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其他财产保险服务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292000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29.20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29.20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购安全</w:t>
            </w:r>
            <w:proofErr w:type="gramEnd"/>
            <w:r>
              <w:rPr>
                <w:rFonts w:ascii="宋体" w:hAnsi="宋体" w:cs="宋体" w:hint="eastAsia"/>
                <w:color w:val="000000"/>
                <w:kern w:val="0"/>
              </w:rPr>
              <w:t>物资</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A032205</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公路行业安全设备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114200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11.42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11.42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购冬季融雪剂费用</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A170199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其他化学制品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西南环收费站园区绿化养护</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C1303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园林绿化管理服务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133600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13.36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13.36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城建外环管理处维修维护项目资金（道路日常零散维修工程）</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B08</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修缮工程</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修缮</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6230000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623.00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623.00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城建外环管理处维修维护项目资金（外环园林绿化养护）</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C1303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园林绿化管理服务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4049700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404.97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404.97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城建外环管理处维修维护项目资金（清扫保洁费用）</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C1304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城市市容管理服务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清扫保洁</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6451400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645.14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645.14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外环线道路维修工程</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B0899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其他建筑物、构筑物修缮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城建外环管理处维修维护项目资金（外环线路灯维修及改造工程）</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B08</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修缮工程</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4494100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449.41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449.41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东外环收费站建设项目尾款</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B010699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其他事业单位用房施工</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西南环收费站建设项目尾款</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B010699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其他事业单位用房施工</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银河路路面维修工程尾款</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B0899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其他建筑物、构筑物修缮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4004800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400.48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400.48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银河路下穿铁路地道桥路面改造工程尾款</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B0899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其他建筑物、构筑物修缮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1856500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185.65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185.65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北外环银河路立交桥辅道维修工程尾款</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B0899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其他建筑物、构筑物修缮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3450200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345.02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345.02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唐山城建外环管理处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北立交桥桥梁加固工程尾款</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B0899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其他建筑物、构筑物修缮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标准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4085400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408.54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408.54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唐山市夜景亮化广告管理服务中心</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公益宣传</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次</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19400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唐山市夜景亮化广告管理服务中心</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亮化设施维护维修</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25000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唐山市夜景亮化广告管理服务中心</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广告设施维护维修</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唐山市夜景亮化广告管理服务中心</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广告</w:t>
            </w:r>
            <w:proofErr w:type="gramStart"/>
            <w:r>
              <w:rPr>
                <w:rFonts w:ascii="宋体" w:hAnsi="宋体" w:cs="宋体" w:hint="eastAsia"/>
                <w:color w:val="000000"/>
                <w:kern w:val="0"/>
              </w:rPr>
              <w:t>位资产</w:t>
            </w:r>
            <w:proofErr w:type="gramEnd"/>
            <w:r>
              <w:rPr>
                <w:rFonts w:ascii="宋体" w:hAnsi="宋体" w:cs="宋体" w:hint="eastAsia"/>
                <w:color w:val="000000"/>
                <w:kern w:val="0"/>
              </w:rPr>
              <w:t>价值评估</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次</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7750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3.10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唐山市夜景亮化广告管理服务中心</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广告位出让运营费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23000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6.90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6.90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唐山市市政工程环境卫生管理处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购置撒布机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A0203072899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其他清洁卫生车辆</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国标</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辆</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750000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唐山市市政工程环境卫生管理处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购置</w:t>
            </w:r>
            <w:proofErr w:type="gramStart"/>
            <w:r>
              <w:rPr>
                <w:rFonts w:ascii="宋体" w:hAnsi="宋体" w:cs="宋体" w:hint="eastAsia"/>
                <w:color w:val="000000"/>
                <w:kern w:val="0"/>
              </w:rPr>
              <w:t>钩臂车</w:t>
            </w:r>
            <w:proofErr w:type="gramEnd"/>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A0203072801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垃圾车</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国标</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辆</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560000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56.00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56.00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唐山市市政工程环境卫生管理处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购置“以克论净”检测车</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A02030799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其他专用汽车</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国标</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辆</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750000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唐山市市政工程环境卫生管理处</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融雪剂</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A170114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化学试剂和助剂</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国标</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吨</w:t>
            </w:r>
            <w:r>
              <w:rPr>
                <w:rFonts w:ascii="宋体" w:hAnsi="宋体" w:cs="宋体"/>
                <w:color w:val="000000"/>
                <w:kern w:val="0"/>
              </w:rPr>
              <w:t>/座</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1200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48.00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48.00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w:t>
            </w:r>
            <w:proofErr w:type="gramStart"/>
            <w:r>
              <w:rPr>
                <w:rFonts w:ascii="宋体" w:hAnsi="宋体" w:cs="宋体" w:hint="eastAsia"/>
                <w:color w:val="000000"/>
                <w:kern w:val="0"/>
              </w:rPr>
              <w:t>王禾庄</w:t>
            </w:r>
            <w:proofErr w:type="gramEnd"/>
            <w:r>
              <w:rPr>
                <w:rFonts w:ascii="宋体" w:hAnsi="宋体" w:cs="宋体" w:hint="eastAsia"/>
                <w:color w:val="000000"/>
                <w:kern w:val="0"/>
              </w:rPr>
              <w:t>垃圾转运站</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王禾庄</w:t>
            </w:r>
            <w:proofErr w:type="gramEnd"/>
            <w:r>
              <w:rPr>
                <w:rFonts w:ascii="宋体" w:hAnsi="宋体" w:cs="宋体" w:hint="eastAsia"/>
                <w:color w:val="000000"/>
                <w:kern w:val="0"/>
              </w:rPr>
              <w:t>转运站供暖锅炉改造</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其他建筑工程</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200KW</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w:t>
            </w:r>
            <w:proofErr w:type="gramStart"/>
            <w:r>
              <w:rPr>
                <w:rFonts w:ascii="宋体" w:hAnsi="宋体" w:cs="宋体" w:hint="eastAsia"/>
                <w:color w:val="000000"/>
                <w:kern w:val="0"/>
              </w:rPr>
              <w:t>王禾庄</w:t>
            </w:r>
            <w:proofErr w:type="gramEnd"/>
            <w:r>
              <w:rPr>
                <w:rFonts w:ascii="宋体" w:hAnsi="宋体" w:cs="宋体" w:hint="eastAsia"/>
                <w:color w:val="000000"/>
                <w:kern w:val="0"/>
              </w:rPr>
              <w:t>垃圾转运站</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王禾庄</w:t>
            </w:r>
            <w:proofErr w:type="gramEnd"/>
            <w:r>
              <w:rPr>
                <w:rFonts w:ascii="宋体" w:hAnsi="宋体" w:cs="宋体" w:hint="eastAsia"/>
                <w:color w:val="000000"/>
                <w:kern w:val="0"/>
              </w:rPr>
              <w:t>转运站油料款</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A160199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其他石油制品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昆仑</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96000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9.60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9.60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w:t>
            </w:r>
            <w:proofErr w:type="gramStart"/>
            <w:r>
              <w:rPr>
                <w:rFonts w:ascii="宋体" w:hAnsi="宋体" w:cs="宋体" w:hint="eastAsia"/>
                <w:color w:val="000000"/>
                <w:kern w:val="0"/>
              </w:rPr>
              <w:t>王禾庄</w:t>
            </w:r>
            <w:proofErr w:type="gramEnd"/>
            <w:r>
              <w:rPr>
                <w:rFonts w:ascii="宋体" w:hAnsi="宋体" w:cs="宋体" w:hint="eastAsia"/>
                <w:color w:val="000000"/>
                <w:kern w:val="0"/>
              </w:rPr>
              <w:t>垃圾转运站</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王禾庄</w:t>
            </w:r>
            <w:proofErr w:type="gramEnd"/>
            <w:r>
              <w:rPr>
                <w:rFonts w:ascii="宋体" w:hAnsi="宋体" w:cs="宋体" w:hint="eastAsia"/>
                <w:color w:val="000000"/>
                <w:kern w:val="0"/>
              </w:rPr>
              <w:t>转运站油料款</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A160103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柴油</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-20#,-10#,0#</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95000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w:t>
            </w:r>
            <w:proofErr w:type="gramStart"/>
            <w:r>
              <w:rPr>
                <w:rFonts w:ascii="宋体" w:hAnsi="宋体" w:cs="宋体" w:hint="eastAsia"/>
                <w:color w:val="000000"/>
                <w:kern w:val="0"/>
              </w:rPr>
              <w:t>王禾庄</w:t>
            </w:r>
            <w:proofErr w:type="gramEnd"/>
            <w:r>
              <w:rPr>
                <w:rFonts w:ascii="宋体" w:hAnsi="宋体" w:cs="宋体" w:hint="eastAsia"/>
                <w:color w:val="000000"/>
                <w:kern w:val="0"/>
              </w:rPr>
              <w:t>垃圾转运站</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王禾庄</w:t>
            </w:r>
            <w:proofErr w:type="gramEnd"/>
            <w:r>
              <w:rPr>
                <w:rFonts w:ascii="宋体" w:hAnsi="宋体" w:cs="宋体" w:hint="eastAsia"/>
                <w:color w:val="000000"/>
                <w:kern w:val="0"/>
              </w:rPr>
              <w:t>转运站油料款</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A160111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石油气、相关烃类</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LNG</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r>
              <w:rPr>
                <w:rFonts w:ascii="宋体" w:hAnsi="宋体" w:cs="宋体"/>
                <w:color w:val="000000"/>
                <w:kern w:val="0"/>
              </w:rPr>
              <w:t>/吨</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4200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84.84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84.84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w:t>
            </w:r>
            <w:proofErr w:type="gramStart"/>
            <w:r>
              <w:rPr>
                <w:rFonts w:ascii="宋体" w:hAnsi="宋体" w:cs="宋体" w:hint="eastAsia"/>
                <w:color w:val="000000"/>
                <w:kern w:val="0"/>
              </w:rPr>
              <w:t>王禾庄</w:t>
            </w:r>
            <w:proofErr w:type="gramEnd"/>
            <w:r>
              <w:rPr>
                <w:rFonts w:ascii="宋体" w:hAnsi="宋体" w:cs="宋体" w:hint="eastAsia"/>
                <w:color w:val="000000"/>
                <w:kern w:val="0"/>
              </w:rPr>
              <w:t>垃圾转运站</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王禾庄</w:t>
            </w:r>
            <w:proofErr w:type="gramEnd"/>
            <w:r>
              <w:rPr>
                <w:rFonts w:ascii="宋体" w:hAnsi="宋体" w:cs="宋体" w:hint="eastAsia"/>
                <w:color w:val="000000"/>
                <w:kern w:val="0"/>
              </w:rPr>
              <w:t>转运站压装设备维修改造</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专项项目</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B08</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修缮工程</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压装设备维修改造</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2540400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254.04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254.04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唐山市尖子</w:t>
            </w:r>
            <w:proofErr w:type="gramStart"/>
            <w:r>
              <w:rPr>
                <w:rFonts w:ascii="宋体" w:hAnsi="宋体" w:cs="宋体" w:hint="eastAsia"/>
                <w:color w:val="000000"/>
                <w:kern w:val="0"/>
              </w:rPr>
              <w:t>沽</w:t>
            </w:r>
            <w:proofErr w:type="gramEnd"/>
            <w:r>
              <w:rPr>
                <w:rFonts w:ascii="宋体" w:hAnsi="宋体" w:cs="宋体" w:hint="eastAsia"/>
                <w:color w:val="000000"/>
                <w:kern w:val="0"/>
              </w:rPr>
              <w:t>生活垃圾填埋场</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尖字沽</w:t>
            </w:r>
            <w:proofErr w:type="gramEnd"/>
            <w:r>
              <w:rPr>
                <w:rFonts w:ascii="宋体" w:hAnsi="宋体" w:cs="宋体" w:hint="eastAsia"/>
                <w:color w:val="000000"/>
                <w:kern w:val="0"/>
              </w:rPr>
              <w:t>填埋场推土机购置</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A030999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其他工程机械</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山推</w:t>
            </w:r>
            <w:r>
              <w:rPr>
                <w:rFonts w:ascii="宋体" w:hAnsi="宋体" w:cs="宋体"/>
                <w:color w:val="000000"/>
                <w:kern w:val="0"/>
              </w:rPr>
              <w:t>160环卫型</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唐山市尖子</w:t>
            </w:r>
            <w:proofErr w:type="gramStart"/>
            <w:r>
              <w:rPr>
                <w:rFonts w:ascii="宋体" w:hAnsi="宋体" w:cs="宋体" w:hint="eastAsia"/>
                <w:color w:val="000000"/>
                <w:kern w:val="0"/>
              </w:rPr>
              <w:t>沽</w:t>
            </w:r>
            <w:proofErr w:type="gramEnd"/>
            <w:r>
              <w:rPr>
                <w:rFonts w:ascii="宋体" w:hAnsi="宋体" w:cs="宋体" w:hint="eastAsia"/>
                <w:color w:val="000000"/>
                <w:kern w:val="0"/>
              </w:rPr>
              <w:t>生活垃圾填埋场</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尖字沽</w:t>
            </w:r>
            <w:proofErr w:type="gramEnd"/>
            <w:r>
              <w:rPr>
                <w:rFonts w:ascii="宋体" w:hAnsi="宋体" w:cs="宋体" w:hint="eastAsia"/>
                <w:color w:val="000000"/>
                <w:kern w:val="0"/>
              </w:rPr>
              <w:t>填埋场油费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A160103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柴油</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-20#,-10#,0#</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r>
              <w:rPr>
                <w:rFonts w:ascii="宋体" w:hAnsi="宋体" w:cs="宋体"/>
                <w:color w:val="000000"/>
                <w:kern w:val="0"/>
              </w:rPr>
              <w:t>/吨</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5200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32.08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16.68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16.68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唐山市尖子</w:t>
            </w:r>
            <w:proofErr w:type="gramStart"/>
            <w:r>
              <w:rPr>
                <w:rFonts w:ascii="宋体" w:hAnsi="宋体" w:cs="宋体" w:hint="eastAsia"/>
                <w:color w:val="000000"/>
                <w:kern w:val="0"/>
              </w:rPr>
              <w:t>沽</w:t>
            </w:r>
            <w:proofErr w:type="gramEnd"/>
            <w:r>
              <w:rPr>
                <w:rFonts w:ascii="宋体" w:hAnsi="宋体" w:cs="宋体" w:hint="eastAsia"/>
                <w:color w:val="000000"/>
                <w:kern w:val="0"/>
              </w:rPr>
              <w:t>生活垃圾填埋场</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尖字沽</w:t>
            </w:r>
            <w:proofErr w:type="gramEnd"/>
            <w:r>
              <w:rPr>
                <w:rFonts w:ascii="宋体" w:hAnsi="宋体" w:cs="宋体" w:hint="eastAsia"/>
                <w:color w:val="000000"/>
                <w:kern w:val="0"/>
              </w:rPr>
              <w:t>填埋场油费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A160108</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润滑脂</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昆仑</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32700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3.27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3.27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唐山市尖子</w:t>
            </w:r>
            <w:proofErr w:type="gramStart"/>
            <w:r>
              <w:rPr>
                <w:rFonts w:ascii="宋体" w:hAnsi="宋体" w:cs="宋体" w:hint="eastAsia"/>
                <w:color w:val="000000"/>
                <w:kern w:val="0"/>
              </w:rPr>
              <w:t>沽</w:t>
            </w:r>
            <w:proofErr w:type="gramEnd"/>
            <w:r>
              <w:rPr>
                <w:rFonts w:ascii="宋体" w:hAnsi="宋体" w:cs="宋体" w:hint="eastAsia"/>
                <w:color w:val="000000"/>
                <w:kern w:val="0"/>
              </w:rPr>
              <w:t>生活垃圾填埋场</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尖字沽</w:t>
            </w:r>
            <w:proofErr w:type="gramEnd"/>
            <w:r>
              <w:rPr>
                <w:rFonts w:ascii="宋体" w:hAnsi="宋体" w:cs="宋体" w:hint="eastAsia"/>
                <w:color w:val="000000"/>
                <w:kern w:val="0"/>
              </w:rPr>
              <w:t>填埋场覆盖膜</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A9999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w:t>
            </w:r>
            <w:proofErr w:type="gramStart"/>
            <w:r>
              <w:rPr>
                <w:rFonts w:ascii="宋体" w:hAnsi="宋体" w:cs="宋体" w:hint="eastAsia"/>
                <w:color w:val="000000"/>
                <w:kern w:val="0"/>
              </w:rPr>
              <w:t>不</w:t>
            </w:r>
            <w:proofErr w:type="gramEnd"/>
            <w:r>
              <w:rPr>
                <w:rFonts w:ascii="宋体" w:hAnsi="宋体" w:cs="宋体" w:hint="eastAsia"/>
                <w:color w:val="000000"/>
                <w:kern w:val="0"/>
              </w:rPr>
              <w:t>另分类的物品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覆盖膜</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366400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36.64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36.64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唐山市尖子</w:t>
            </w:r>
            <w:proofErr w:type="gramStart"/>
            <w:r>
              <w:rPr>
                <w:rFonts w:ascii="宋体" w:hAnsi="宋体" w:cs="宋体" w:hint="eastAsia"/>
                <w:color w:val="000000"/>
                <w:kern w:val="0"/>
              </w:rPr>
              <w:t>沽</w:t>
            </w:r>
            <w:proofErr w:type="gramEnd"/>
            <w:r>
              <w:rPr>
                <w:rFonts w:ascii="宋体" w:hAnsi="宋体" w:cs="宋体" w:hint="eastAsia"/>
                <w:color w:val="000000"/>
                <w:kern w:val="0"/>
              </w:rPr>
              <w:t>生活垃圾填埋场</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尖字沽</w:t>
            </w:r>
            <w:proofErr w:type="gramEnd"/>
            <w:r>
              <w:rPr>
                <w:rFonts w:ascii="宋体" w:hAnsi="宋体" w:cs="宋体" w:hint="eastAsia"/>
                <w:color w:val="000000"/>
                <w:kern w:val="0"/>
              </w:rPr>
              <w:t>填埋场车辆维修费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C050301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车辆设备维修和保养服务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国标</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联想</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购笔记本电脑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A02010105</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便携式计算机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联想</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购相机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A0202050101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数字照相机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佳能</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购移动硬盘</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A090699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其他信息载体</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1TB</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0.20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购打印机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A0201060102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激光打印机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惠普</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传真机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其他办公设备</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无</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0.08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0.08</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支票打印机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A02021499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其他会计机械</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无</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0.15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0.15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购五节柜</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A060503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金属质柜类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无</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个</w:t>
            </w:r>
            <w:proofErr w:type="gramEnd"/>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450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9</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购办公桌</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A060205</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木制台、</w:t>
            </w:r>
            <w:proofErr w:type="gramStart"/>
            <w:r>
              <w:rPr>
                <w:rFonts w:ascii="宋体" w:hAnsi="宋体" w:cs="宋体" w:hint="eastAsia"/>
                <w:color w:val="000000"/>
                <w:kern w:val="0"/>
              </w:rPr>
              <w:t>桌类</w:t>
            </w:r>
            <w:proofErr w:type="gramEnd"/>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1400*700*770MM</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1.75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购椅子</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A060302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木骨架为主的椅凳类</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无</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把</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49</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1.47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1.47</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购高空作业车</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A030912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装修与高处作业机械</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18米</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辆</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700000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70.00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proofErr w:type="gramStart"/>
            <w:r>
              <w:rPr>
                <w:rFonts w:ascii="宋体" w:hAnsi="宋体" w:cs="宋体" w:hint="eastAsia"/>
                <w:color w:val="000000"/>
                <w:kern w:val="0"/>
              </w:rPr>
              <w:t>购挂式</w:t>
            </w:r>
            <w:proofErr w:type="gramEnd"/>
            <w:r>
              <w:rPr>
                <w:rFonts w:ascii="宋体" w:hAnsi="宋体" w:cs="宋体" w:hint="eastAsia"/>
                <w:color w:val="000000"/>
                <w:kern w:val="0"/>
              </w:rPr>
              <w:t>空调</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A0206180203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空调机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1.5匹</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1.50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购立式空调</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A0206180203</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空调机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3匹</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0.60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0.60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路灯监控网络费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C0399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其他电信和信息传输服务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张</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85500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8.55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8.55</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路灯监控网络费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C0399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其他电信和信息传输服务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兆</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租赁费</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C1202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房屋租赁服务</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年</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平方米</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470000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47.00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47.00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唐山市路灯管理所</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2120399</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专用材料</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A9999</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其他</w:t>
            </w:r>
            <w:proofErr w:type="gramStart"/>
            <w:r>
              <w:rPr>
                <w:rFonts w:ascii="宋体" w:hAnsi="宋体" w:cs="宋体" w:hint="eastAsia"/>
                <w:color w:val="000000"/>
                <w:kern w:val="0"/>
              </w:rPr>
              <w:t>不</w:t>
            </w:r>
            <w:proofErr w:type="gramEnd"/>
            <w:r>
              <w:rPr>
                <w:rFonts w:ascii="宋体" w:hAnsi="宋体" w:cs="宋体" w:hint="eastAsia"/>
                <w:color w:val="000000"/>
                <w:kern w:val="0"/>
              </w:rPr>
              <w:t>另分类的物品</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无</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项</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305</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20000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610.00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610.00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唐山市城环垃圾处置有限公司</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购打印机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A0201060102</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激光打印机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惠普</w:t>
            </w:r>
            <w:r>
              <w:rPr>
                <w:rFonts w:ascii="宋体" w:hAnsi="宋体" w:cs="宋体"/>
                <w:color w:val="000000"/>
                <w:kern w:val="0"/>
              </w:rPr>
              <w:t>701N</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6700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1.34</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唐山市城环垃圾处置有限公司</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购电脑</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A02010104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台式计算机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联想</w:t>
            </w:r>
            <w:r>
              <w:rPr>
                <w:rFonts w:ascii="宋体" w:hAnsi="宋体" w:cs="宋体"/>
                <w:color w:val="000000"/>
                <w:kern w:val="0"/>
              </w:rPr>
              <w:t>M4360</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6</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唐山市城环垃圾处置有限公司</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购传真一体机</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A020204</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多功能一体机</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兄弟</w:t>
            </w:r>
            <w:r>
              <w:rPr>
                <w:rFonts w:ascii="宋体" w:hAnsi="宋体" w:cs="宋体"/>
                <w:color w:val="000000"/>
                <w:kern w:val="0"/>
              </w:rPr>
              <w:t>7470</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3500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2</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0.70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r w:rsidR="00524899" w:rsidRPr="003403D0" w:rsidTr="00C04002">
        <w:trPr>
          <w:cantSplit/>
          <w:trHeight w:val="312"/>
          <w:jc w:val="center"/>
        </w:trPr>
        <w:tc>
          <w:tcPr>
            <w:tcW w:w="164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lastRenderedPageBreak/>
              <w:t>唐山市城环垃圾处置有限公司</w:t>
            </w:r>
          </w:p>
        </w:tc>
        <w:tc>
          <w:tcPr>
            <w:tcW w:w="992"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2120501</w:t>
            </w:r>
          </w:p>
        </w:tc>
        <w:tc>
          <w:tcPr>
            <w:tcW w:w="1701"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购扫描仪</w:t>
            </w:r>
          </w:p>
        </w:tc>
        <w:tc>
          <w:tcPr>
            <w:tcW w:w="71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专项公用</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color w:val="000000"/>
                <w:kern w:val="0"/>
              </w:rPr>
              <w:t>A0201060901</w:t>
            </w:r>
          </w:p>
        </w:tc>
        <w:tc>
          <w:tcPr>
            <w:tcW w:w="1276"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扫描仪</w:t>
            </w:r>
          </w:p>
        </w:tc>
        <w:tc>
          <w:tcPr>
            <w:tcW w:w="850"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佳能</w:t>
            </w:r>
            <w:r>
              <w:rPr>
                <w:rFonts w:ascii="宋体" w:hAnsi="宋体" w:cs="宋体"/>
                <w:color w:val="000000"/>
                <w:kern w:val="0"/>
              </w:rPr>
              <w:t>5066F</w:t>
            </w:r>
          </w:p>
        </w:tc>
        <w:tc>
          <w:tcPr>
            <w:tcW w:w="567" w:type="dxa"/>
            <w:shd w:val="clear" w:color="auto" w:fill="auto"/>
            <w:vAlign w:val="center"/>
          </w:tcPr>
          <w:p w:rsidR="00524899" w:rsidRPr="003403D0" w:rsidRDefault="00524899" w:rsidP="00C04002">
            <w:pPr>
              <w:widowControl/>
              <w:jc w:val="left"/>
              <w:rPr>
                <w:rFonts w:ascii="宋体" w:hAnsi="宋体" w:cs="宋体"/>
                <w:color w:val="000000"/>
                <w:kern w:val="0"/>
              </w:rPr>
            </w:pPr>
            <w:r>
              <w:rPr>
                <w:rFonts w:ascii="宋体" w:hAnsi="宋体" w:cs="宋体" w:hint="eastAsia"/>
                <w:color w:val="000000"/>
                <w:kern w:val="0"/>
              </w:rPr>
              <w:t>台</w:t>
            </w:r>
          </w:p>
        </w:tc>
        <w:tc>
          <w:tcPr>
            <w:tcW w:w="709"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4000</w:t>
            </w:r>
          </w:p>
        </w:tc>
        <w:tc>
          <w:tcPr>
            <w:tcW w:w="498"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1</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r>
              <w:rPr>
                <w:rFonts w:ascii="宋体" w:hAnsi="宋体" w:cs="宋体"/>
                <w:color w:val="000000"/>
                <w:kern w:val="0"/>
              </w:rPr>
              <w:t>0.40</w:t>
            </w: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0" w:type="dxa"/>
            <w:shd w:val="clear" w:color="auto" w:fill="auto"/>
            <w:vAlign w:val="center"/>
          </w:tcPr>
          <w:p w:rsidR="00524899" w:rsidRPr="003403D0" w:rsidRDefault="00524899" w:rsidP="00C04002">
            <w:pPr>
              <w:widowControl/>
              <w:jc w:val="right"/>
              <w:rPr>
                <w:rFonts w:ascii="宋体" w:hAnsi="宋体" w:cs="宋体"/>
                <w:color w:val="000000"/>
                <w:kern w:val="0"/>
              </w:rPr>
            </w:pPr>
          </w:p>
        </w:tc>
        <w:tc>
          <w:tcPr>
            <w:tcW w:w="981" w:type="dxa"/>
            <w:shd w:val="clear" w:color="auto" w:fill="auto"/>
            <w:vAlign w:val="center"/>
          </w:tcPr>
          <w:p w:rsidR="00524899" w:rsidRPr="003403D0" w:rsidRDefault="00524899" w:rsidP="00C04002">
            <w:pPr>
              <w:widowControl/>
              <w:jc w:val="right"/>
              <w:rPr>
                <w:rFonts w:ascii="宋体" w:hAnsi="宋体" w:cs="宋体"/>
                <w:color w:val="000000"/>
                <w:kern w:val="0"/>
              </w:rPr>
            </w:pPr>
          </w:p>
        </w:tc>
      </w:tr>
    </w:tbl>
    <w:p w:rsidR="00524899" w:rsidRDefault="00524899" w:rsidP="00524899">
      <w:pPr>
        <w:spacing w:line="20" w:lineRule="exact"/>
        <w:jc w:val="left"/>
      </w:pPr>
    </w:p>
    <w:p w:rsidR="00054DAF" w:rsidRPr="001245BB" w:rsidRDefault="00054DAF" w:rsidP="0077313B">
      <w:pPr>
        <w:autoSpaceDE w:val="0"/>
        <w:autoSpaceDN w:val="0"/>
        <w:adjustRightInd w:val="0"/>
        <w:ind w:left="198" w:firstLineChars="200" w:firstLine="640"/>
        <w:jc w:val="left"/>
        <w:rPr>
          <w:rFonts w:ascii="黑体" w:eastAsia="黑体" w:hAnsi="黑体" w:cs="Times New Roman"/>
          <w:sz w:val="32"/>
          <w:szCs w:val="32"/>
        </w:rPr>
      </w:pPr>
      <w:r w:rsidRPr="001245BB">
        <w:rPr>
          <w:rFonts w:ascii="黑体" w:eastAsia="黑体" w:hAnsi="黑体" w:cs="黑体" w:hint="eastAsia"/>
          <w:sz w:val="32"/>
          <w:szCs w:val="32"/>
        </w:rPr>
        <w:t>七、国有资产信息</w:t>
      </w:r>
    </w:p>
    <w:tbl>
      <w:tblPr>
        <w:tblW w:w="9080" w:type="dxa"/>
        <w:tblInd w:w="93" w:type="dxa"/>
        <w:tblLook w:val="04A0" w:firstRow="1" w:lastRow="0" w:firstColumn="1" w:lastColumn="0" w:noHBand="0" w:noVBand="1"/>
      </w:tblPr>
      <w:tblGrid>
        <w:gridCol w:w="2780"/>
        <w:gridCol w:w="2940"/>
        <w:gridCol w:w="3360"/>
      </w:tblGrid>
      <w:tr w:rsidR="00524899" w:rsidRPr="00524899" w:rsidTr="00524899">
        <w:trPr>
          <w:trHeight w:val="510"/>
        </w:trPr>
        <w:tc>
          <w:tcPr>
            <w:tcW w:w="9080" w:type="dxa"/>
            <w:gridSpan w:val="3"/>
            <w:tcBorders>
              <w:top w:val="nil"/>
              <w:left w:val="nil"/>
              <w:bottom w:val="nil"/>
              <w:right w:val="nil"/>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8"/>
                <w:szCs w:val="28"/>
              </w:rPr>
            </w:pPr>
            <w:r w:rsidRPr="00524899">
              <w:rPr>
                <w:rFonts w:ascii="宋体" w:hAnsi="宋体" w:cs="宋体" w:hint="eastAsia"/>
                <w:color w:val="000000"/>
                <w:kern w:val="0"/>
                <w:sz w:val="28"/>
                <w:szCs w:val="28"/>
              </w:rPr>
              <w:t>唐山市城市管理局国有资产信息情况统计表</w:t>
            </w:r>
          </w:p>
        </w:tc>
      </w:tr>
      <w:tr w:rsidR="00524899" w:rsidRPr="00524899" w:rsidTr="00524899">
        <w:trPr>
          <w:trHeight w:val="540"/>
        </w:trPr>
        <w:tc>
          <w:tcPr>
            <w:tcW w:w="2780" w:type="dxa"/>
            <w:tcBorders>
              <w:top w:val="nil"/>
              <w:left w:val="nil"/>
              <w:bottom w:val="nil"/>
              <w:right w:val="nil"/>
            </w:tcBorders>
            <w:shd w:val="clear" w:color="auto" w:fill="auto"/>
            <w:noWrap/>
            <w:vAlign w:val="center"/>
            <w:hideMark/>
          </w:tcPr>
          <w:p w:rsidR="00524899" w:rsidRPr="00524899" w:rsidRDefault="00524899" w:rsidP="00524899">
            <w:pPr>
              <w:widowControl/>
              <w:jc w:val="left"/>
              <w:rPr>
                <w:rFonts w:ascii="宋体" w:hAnsi="宋体" w:cs="宋体"/>
                <w:color w:val="000000"/>
                <w:kern w:val="0"/>
                <w:sz w:val="22"/>
                <w:szCs w:val="22"/>
              </w:rPr>
            </w:pPr>
          </w:p>
        </w:tc>
        <w:tc>
          <w:tcPr>
            <w:tcW w:w="2940" w:type="dxa"/>
            <w:tcBorders>
              <w:top w:val="nil"/>
              <w:left w:val="nil"/>
              <w:bottom w:val="nil"/>
              <w:right w:val="nil"/>
            </w:tcBorders>
            <w:shd w:val="clear" w:color="auto" w:fill="auto"/>
            <w:noWrap/>
            <w:vAlign w:val="center"/>
            <w:hideMark/>
          </w:tcPr>
          <w:p w:rsidR="00524899" w:rsidRPr="00524899" w:rsidRDefault="00524899" w:rsidP="00524899">
            <w:pPr>
              <w:widowControl/>
              <w:jc w:val="left"/>
              <w:rPr>
                <w:rFonts w:ascii="宋体" w:hAnsi="宋体" w:cs="宋体"/>
                <w:color w:val="000000"/>
                <w:kern w:val="0"/>
                <w:sz w:val="22"/>
                <w:szCs w:val="22"/>
              </w:rPr>
            </w:pPr>
          </w:p>
        </w:tc>
        <w:tc>
          <w:tcPr>
            <w:tcW w:w="3360" w:type="dxa"/>
            <w:tcBorders>
              <w:top w:val="nil"/>
              <w:left w:val="nil"/>
              <w:bottom w:val="nil"/>
              <w:right w:val="nil"/>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 xml:space="preserve">  单位：万元</w:t>
            </w:r>
          </w:p>
        </w:tc>
      </w:tr>
      <w:tr w:rsidR="00524899" w:rsidRPr="00524899" w:rsidTr="00524899">
        <w:trPr>
          <w:trHeight w:val="919"/>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单位名称</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2016年末固定资产占用情况</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本年度预算安排购置情况</w:t>
            </w:r>
          </w:p>
        </w:tc>
      </w:tr>
      <w:tr w:rsidR="00524899" w:rsidRPr="00524899" w:rsidTr="00524899">
        <w:trPr>
          <w:trHeight w:val="919"/>
        </w:trPr>
        <w:tc>
          <w:tcPr>
            <w:tcW w:w="2780" w:type="dxa"/>
            <w:tcBorders>
              <w:top w:val="nil"/>
              <w:left w:val="single" w:sz="4" w:space="0" w:color="auto"/>
              <w:bottom w:val="single" w:sz="4" w:space="0" w:color="auto"/>
              <w:right w:val="nil"/>
            </w:tcBorders>
            <w:shd w:val="clear" w:color="auto" w:fill="auto"/>
            <w:noWrap/>
            <w:vAlign w:val="center"/>
            <w:hideMark/>
          </w:tcPr>
          <w:p w:rsidR="00524899" w:rsidRPr="00524899" w:rsidRDefault="00524899" w:rsidP="00524899">
            <w:pPr>
              <w:widowControl/>
              <w:jc w:val="left"/>
              <w:rPr>
                <w:rFonts w:ascii="宋体" w:hAnsi="宋体" w:cs="宋体"/>
                <w:kern w:val="0"/>
                <w:sz w:val="20"/>
                <w:szCs w:val="20"/>
              </w:rPr>
            </w:pPr>
            <w:r w:rsidRPr="00524899">
              <w:rPr>
                <w:rFonts w:ascii="宋体" w:hAnsi="宋体" w:cs="宋体" w:hint="eastAsia"/>
                <w:kern w:val="0"/>
                <w:sz w:val="20"/>
                <w:szCs w:val="20"/>
              </w:rPr>
              <w:t>城管局局机关及执法大队</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1355.5</w:t>
            </w:r>
          </w:p>
        </w:tc>
        <w:tc>
          <w:tcPr>
            <w:tcW w:w="3360" w:type="dxa"/>
            <w:tcBorders>
              <w:top w:val="nil"/>
              <w:left w:val="nil"/>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61.6</w:t>
            </w:r>
          </w:p>
        </w:tc>
      </w:tr>
      <w:tr w:rsidR="00524899" w:rsidRPr="00524899" w:rsidTr="00524899">
        <w:trPr>
          <w:trHeight w:val="919"/>
        </w:trPr>
        <w:tc>
          <w:tcPr>
            <w:tcW w:w="2780" w:type="dxa"/>
            <w:tcBorders>
              <w:top w:val="nil"/>
              <w:left w:val="single" w:sz="4" w:space="0" w:color="auto"/>
              <w:bottom w:val="single" w:sz="4" w:space="0" w:color="auto"/>
              <w:right w:val="nil"/>
            </w:tcBorders>
            <w:shd w:val="clear" w:color="auto" w:fill="auto"/>
            <w:noWrap/>
            <w:vAlign w:val="center"/>
            <w:hideMark/>
          </w:tcPr>
          <w:p w:rsidR="00524899" w:rsidRPr="00524899" w:rsidRDefault="00524899" w:rsidP="00524899">
            <w:pPr>
              <w:widowControl/>
              <w:jc w:val="left"/>
              <w:rPr>
                <w:rFonts w:ascii="宋体" w:hAnsi="宋体" w:cs="宋体"/>
                <w:kern w:val="0"/>
                <w:sz w:val="20"/>
                <w:szCs w:val="20"/>
              </w:rPr>
            </w:pPr>
            <w:r w:rsidRPr="00524899">
              <w:rPr>
                <w:rFonts w:ascii="宋体" w:hAnsi="宋体" w:cs="宋体" w:hint="eastAsia"/>
                <w:kern w:val="0"/>
                <w:sz w:val="20"/>
                <w:szCs w:val="20"/>
              </w:rPr>
              <w:t>数字化中心</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66.21</w:t>
            </w:r>
          </w:p>
        </w:tc>
        <w:tc>
          <w:tcPr>
            <w:tcW w:w="3360" w:type="dxa"/>
            <w:tcBorders>
              <w:top w:val="nil"/>
              <w:left w:val="nil"/>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6.75</w:t>
            </w:r>
          </w:p>
        </w:tc>
      </w:tr>
      <w:tr w:rsidR="00524899" w:rsidRPr="00524899" w:rsidTr="00524899">
        <w:trPr>
          <w:trHeight w:val="919"/>
        </w:trPr>
        <w:tc>
          <w:tcPr>
            <w:tcW w:w="2780" w:type="dxa"/>
            <w:tcBorders>
              <w:top w:val="nil"/>
              <w:left w:val="single" w:sz="4" w:space="0" w:color="auto"/>
              <w:bottom w:val="single" w:sz="4" w:space="0" w:color="auto"/>
              <w:right w:val="nil"/>
            </w:tcBorders>
            <w:shd w:val="clear" w:color="auto" w:fill="auto"/>
            <w:noWrap/>
            <w:vAlign w:val="center"/>
            <w:hideMark/>
          </w:tcPr>
          <w:p w:rsidR="00524899" w:rsidRPr="00524899" w:rsidRDefault="00524899" w:rsidP="00524899">
            <w:pPr>
              <w:widowControl/>
              <w:jc w:val="left"/>
              <w:rPr>
                <w:rFonts w:ascii="宋体" w:hAnsi="宋体" w:cs="宋体"/>
                <w:kern w:val="0"/>
                <w:sz w:val="20"/>
                <w:szCs w:val="20"/>
              </w:rPr>
            </w:pPr>
            <w:r w:rsidRPr="00524899">
              <w:rPr>
                <w:rFonts w:ascii="宋体" w:hAnsi="宋体" w:cs="宋体" w:hint="eastAsia"/>
                <w:kern w:val="0"/>
                <w:sz w:val="20"/>
                <w:szCs w:val="20"/>
              </w:rPr>
              <w:lastRenderedPageBreak/>
              <w:t>园林局</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372.83</w:t>
            </w:r>
          </w:p>
        </w:tc>
        <w:tc>
          <w:tcPr>
            <w:tcW w:w="3360" w:type="dxa"/>
            <w:tcBorders>
              <w:top w:val="nil"/>
              <w:left w:val="nil"/>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1.8</w:t>
            </w:r>
          </w:p>
        </w:tc>
      </w:tr>
      <w:tr w:rsidR="00524899" w:rsidRPr="00524899" w:rsidTr="00524899">
        <w:trPr>
          <w:trHeight w:val="919"/>
        </w:trPr>
        <w:tc>
          <w:tcPr>
            <w:tcW w:w="2780" w:type="dxa"/>
            <w:tcBorders>
              <w:top w:val="nil"/>
              <w:left w:val="single" w:sz="4" w:space="0" w:color="auto"/>
              <w:bottom w:val="single" w:sz="4" w:space="0" w:color="auto"/>
              <w:right w:val="nil"/>
            </w:tcBorders>
            <w:shd w:val="clear" w:color="auto" w:fill="auto"/>
            <w:noWrap/>
            <w:vAlign w:val="center"/>
            <w:hideMark/>
          </w:tcPr>
          <w:p w:rsidR="00524899" w:rsidRPr="00524899" w:rsidRDefault="00524899" w:rsidP="00524899">
            <w:pPr>
              <w:widowControl/>
              <w:jc w:val="left"/>
              <w:rPr>
                <w:rFonts w:ascii="宋体" w:hAnsi="宋体" w:cs="宋体"/>
                <w:kern w:val="0"/>
                <w:sz w:val="20"/>
                <w:szCs w:val="20"/>
              </w:rPr>
            </w:pPr>
            <w:r w:rsidRPr="00524899">
              <w:rPr>
                <w:rFonts w:ascii="宋体" w:hAnsi="宋体" w:cs="宋体" w:hint="eastAsia"/>
                <w:kern w:val="0"/>
                <w:sz w:val="20"/>
                <w:szCs w:val="20"/>
              </w:rPr>
              <w:t>园林绿化处</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4663.55</w:t>
            </w:r>
          </w:p>
        </w:tc>
        <w:tc>
          <w:tcPr>
            <w:tcW w:w="3360" w:type="dxa"/>
            <w:tcBorders>
              <w:top w:val="nil"/>
              <w:left w:val="nil"/>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 xml:space="preserve">　</w:t>
            </w:r>
          </w:p>
        </w:tc>
      </w:tr>
      <w:tr w:rsidR="00524899" w:rsidRPr="00524899" w:rsidTr="00524899">
        <w:trPr>
          <w:trHeight w:val="919"/>
        </w:trPr>
        <w:tc>
          <w:tcPr>
            <w:tcW w:w="2780" w:type="dxa"/>
            <w:tcBorders>
              <w:top w:val="nil"/>
              <w:left w:val="single" w:sz="4" w:space="0" w:color="auto"/>
              <w:bottom w:val="single" w:sz="4" w:space="0" w:color="auto"/>
              <w:right w:val="nil"/>
            </w:tcBorders>
            <w:shd w:val="clear" w:color="auto" w:fill="auto"/>
            <w:noWrap/>
            <w:vAlign w:val="center"/>
            <w:hideMark/>
          </w:tcPr>
          <w:p w:rsidR="00524899" w:rsidRPr="00524899" w:rsidRDefault="00524899" w:rsidP="00524899">
            <w:pPr>
              <w:widowControl/>
              <w:jc w:val="left"/>
              <w:rPr>
                <w:rFonts w:ascii="宋体" w:hAnsi="宋体" w:cs="宋体"/>
                <w:kern w:val="0"/>
                <w:sz w:val="20"/>
                <w:szCs w:val="20"/>
              </w:rPr>
            </w:pPr>
            <w:r w:rsidRPr="00524899">
              <w:rPr>
                <w:rFonts w:ascii="宋体" w:hAnsi="宋体" w:cs="宋体" w:hint="eastAsia"/>
                <w:kern w:val="0"/>
                <w:sz w:val="20"/>
                <w:szCs w:val="20"/>
              </w:rPr>
              <w:t>外环处</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1887.35</w:t>
            </w:r>
          </w:p>
        </w:tc>
        <w:tc>
          <w:tcPr>
            <w:tcW w:w="3360" w:type="dxa"/>
            <w:tcBorders>
              <w:top w:val="nil"/>
              <w:left w:val="nil"/>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583.11</w:t>
            </w:r>
          </w:p>
        </w:tc>
      </w:tr>
      <w:tr w:rsidR="00524899" w:rsidRPr="00524899" w:rsidTr="00524899">
        <w:trPr>
          <w:trHeight w:val="919"/>
        </w:trPr>
        <w:tc>
          <w:tcPr>
            <w:tcW w:w="2780" w:type="dxa"/>
            <w:tcBorders>
              <w:top w:val="nil"/>
              <w:left w:val="single" w:sz="4" w:space="0" w:color="auto"/>
              <w:bottom w:val="single" w:sz="4" w:space="0" w:color="auto"/>
              <w:right w:val="nil"/>
            </w:tcBorders>
            <w:shd w:val="clear" w:color="auto" w:fill="auto"/>
            <w:noWrap/>
            <w:vAlign w:val="center"/>
            <w:hideMark/>
          </w:tcPr>
          <w:p w:rsidR="00524899" w:rsidRPr="00524899" w:rsidRDefault="00524899" w:rsidP="00524899">
            <w:pPr>
              <w:widowControl/>
              <w:jc w:val="left"/>
              <w:rPr>
                <w:rFonts w:ascii="宋体" w:hAnsi="宋体" w:cs="宋体"/>
                <w:kern w:val="0"/>
                <w:sz w:val="20"/>
                <w:szCs w:val="20"/>
              </w:rPr>
            </w:pPr>
            <w:r w:rsidRPr="00524899">
              <w:rPr>
                <w:rFonts w:ascii="宋体" w:hAnsi="宋体" w:cs="宋体" w:hint="eastAsia"/>
                <w:kern w:val="0"/>
                <w:sz w:val="20"/>
                <w:szCs w:val="20"/>
              </w:rPr>
              <w:t>亮化中心</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183.22</w:t>
            </w:r>
          </w:p>
        </w:tc>
        <w:tc>
          <w:tcPr>
            <w:tcW w:w="3360" w:type="dxa"/>
            <w:tcBorders>
              <w:top w:val="nil"/>
              <w:left w:val="nil"/>
              <w:bottom w:val="single" w:sz="4" w:space="0" w:color="auto"/>
              <w:right w:val="single" w:sz="4" w:space="0" w:color="auto"/>
            </w:tcBorders>
            <w:shd w:val="clear" w:color="auto" w:fill="auto"/>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 xml:space="preserve">　</w:t>
            </w:r>
          </w:p>
        </w:tc>
      </w:tr>
      <w:tr w:rsidR="00524899" w:rsidRPr="00524899" w:rsidTr="00524899">
        <w:trPr>
          <w:trHeight w:val="72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524899" w:rsidRPr="00524899" w:rsidRDefault="00524899" w:rsidP="00524899">
            <w:pPr>
              <w:widowControl/>
              <w:jc w:val="left"/>
              <w:rPr>
                <w:rFonts w:ascii="宋体" w:hAnsi="宋体" w:cs="宋体"/>
                <w:kern w:val="0"/>
                <w:sz w:val="20"/>
                <w:szCs w:val="20"/>
              </w:rPr>
            </w:pPr>
            <w:r w:rsidRPr="00524899">
              <w:rPr>
                <w:rFonts w:ascii="宋体" w:hAnsi="宋体" w:cs="宋体" w:hint="eastAsia"/>
                <w:kern w:val="0"/>
                <w:sz w:val="20"/>
                <w:szCs w:val="20"/>
              </w:rPr>
              <w:t>市管处</w:t>
            </w:r>
          </w:p>
        </w:tc>
        <w:tc>
          <w:tcPr>
            <w:tcW w:w="2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4856.32</w:t>
            </w:r>
          </w:p>
        </w:tc>
        <w:tc>
          <w:tcPr>
            <w:tcW w:w="3360" w:type="dxa"/>
            <w:tcBorders>
              <w:top w:val="nil"/>
              <w:left w:val="nil"/>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7.06</w:t>
            </w:r>
          </w:p>
        </w:tc>
      </w:tr>
      <w:tr w:rsidR="00524899" w:rsidRPr="00524899" w:rsidTr="00524899">
        <w:trPr>
          <w:trHeight w:val="72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524899" w:rsidRPr="00524899" w:rsidRDefault="00524899" w:rsidP="00524899">
            <w:pPr>
              <w:widowControl/>
              <w:jc w:val="left"/>
              <w:rPr>
                <w:rFonts w:ascii="宋体" w:hAnsi="宋体" w:cs="宋体"/>
                <w:kern w:val="0"/>
                <w:sz w:val="20"/>
                <w:szCs w:val="20"/>
              </w:rPr>
            </w:pPr>
            <w:proofErr w:type="gramStart"/>
            <w:r w:rsidRPr="00524899">
              <w:rPr>
                <w:rFonts w:ascii="宋体" w:hAnsi="宋体" w:cs="宋体" w:hint="eastAsia"/>
                <w:kern w:val="0"/>
                <w:sz w:val="20"/>
                <w:szCs w:val="20"/>
              </w:rPr>
              <w:t>王禾庄</w:t>
            </w:r>
            <w:proofErr w:type="gramEnd"/>
            <w:r w:rsidRPr="00524899">
              <w:rPr>
                <w:rFonts w:ascii="宋体" w:hAnsi="宋体" w:cs="宋体" w:hint="eastAsia"/>
                <w:kern w:val="0"/>
                <w:sz w:val="20"/>
                <w:szCs w:val="20"/>
              </w:rPr>
              <w:t>转运站</w:t>
            </w:r>
          </w:p>
        </w:tc>
        <w:tc>
          <w:tcPr>
            <w:tcW w:w="2940" w:type="dxa"/>
            <w:vMerge/>
            <w:tcBorders>
              <w:top w:val="nil"/>
              <w:left w:val="single" w:sz="4" w:space="0" w:color="auto"/>
              <w:bottom w:val="single" w:sz="4" w:space="0" w:color="auto"/>
              <w:right w:val="single" w:sz="4" w:space="0" w:color="auto"/>
            </w:tcBorders>
            <w:vAlign w:val="center"/>
            <w:hideMark/>
          </w:tcPr>
          <w:p w:rsidR="00524899" w:rsidRPr="00524899" w:rsidRDefault="00524899" w:rsidP="00524899">
            <w:pPr>
              <w:widowControl/>
              <w:jc w:val="left"/>
              <w:rPr>
                <w:rFonts w:ascii="宋体" w:hAnsi="宋体" w:cs="宋体"/>
                <w:color w:val="000000"/>
                <w:kern w:val="0"/>
                <w:sz w:val="22"/>
                <w:szCs w:val="22"/>
              </w:rPr>
            </w:pPr>
          </w:p>
        </w:tc>
        <w:tc>
          <w:tcPr>
            <w:tcW w:w="3360" w:type="dxa"/>
            <w:tcBorders>
              <w:top w:val="nil"/>
              <w:left w:val="nil"/>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60</w:t>
            </w:r>
          </w:p>
        </w:tc>
      </w:tr>
      <w:tr w:rsidR="00524899" w:rsidRPr="00524899" w:rsidTr="00524899">
        <w:trPr>
          <w:trHeight w:val="72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524899" w:rsidRPr="00524899" w:rsidRDefault="00524899" w:rsidP="00524899">
            <w:pPr>
              <w:widowControl/>
              <w:jc w:val="left"/>
              <w:rPr>
                <w:rFonts w:ascii="宋体" w:hAnsi="宋体" w:cs="宋体"/>
                <w:kern w:val="0"/>
                <w:sz w:val="20"/>
                <w:szCs w:val="20"/>
              </w:rPr>
            </w:pPr>
            <w:r w:rsidRPr="00524899">
              <w:rPr>
                <w:rFonts w:ascii="宋体" w:hAnsi="宋体" w:cs="宋体" w:hint="eastAsia"/>
                <w:kern w:val="0"/>
                <w:sz w:val="20"/>
                <w:szCs w:val="20"/>
              </w:rPr>
              <w:t>尖子</w:t>
            </w:r>
            <w:proofErr w:type="gramStart"/>
            <w:r w:rsidRPr="00524899">
              <w:rPr>
                <w:rFonts w:ascii="宋体" w:hAnsi="宋体" w:cs="宋体" w:hint="eastAsia"/>
                <w:kern w:val="0"/>
                <w:sz w:val="20"/>
                <w:szCs w:val="20"/>
              </w:rPr>
              <w:t>沽</w:t>
            </w:r>
            <w:proofErr w:type="gramEnd"/>
            <w:r w:rsidRPr="00524899">
              <w:rPr>
                <w:rFonts w:ascii="宋体" w:hAnsi="宋体" w:cs="宋体" w:hint="eastAsia"/>
                <w:kern w:val="0"/>
                <w:sz w:val="20"/>
                <w:szCs w:val="20"/>
              </w:rPr>
              <w:t>填埋场</w:t>
            </w:r>
          </w:p>
        </w:tc>
        <w:tc>
          <w:tcPr>
            <w:tcW w:w="2940" w:type="dxa"/>
            <w:vMerge/>
            <w:tcBorders>
              <w:top w:val="nil"/>
              <w:left w:val="single" w:sz="4" w:space="0" w:color="auto"/>
              <w:bottom w:val="single" w:sz="4" w:space="0" w:color="auto"/>
              <w:right w:val="single" w:sz="4" w:space="0" w:color="auto"/>
            </w:tcBorders>
            <w:vAlign w:val="center"/>
            <w:hideMark/>
          </w:tcPr>
          <w:p w:rsidR="00524899" w:rsidRPr="00524899" w:rsidRDefault="00524899" w:rsidP="00524899">
            <w:pPr>
              <w:widowControl/>
              <w:jc w:val="left"/>
              <w:rPr>
                <w:rFonts w:ascii="宋体" w:hAnsi="宋体" w:cs="宋体"/>
                <w:color w:val="000000"/>
                <w:kern w:val="0"/>
                <w:sz w:val="22"/>
                <w:szCs w:val="22"/>
              </w:rPr>
            </w:pPr>
          </w:p>
        </w:tc>
        <w:tc>
          <w:tcPr>
            <w:tcW w:w="3360" w:type="dxa"/>
            <w:tcBorders>
              <w:top w:val="nil"/>
              <w:left w:val="nil"/>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 xml:space="preserve">　</w:t>
            </w:r>
          </w:p>
        </w:tc>
      </w:tr>
      <w:tr w:rsidR="00524899" w:rsidRPr="00524899" w:rsidTr="00524899">
        <w:trPr>
          <w:trHeight w:val="72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524899" w:rsidRPr="00524899" w:rsidRDefault="00524899" w:rsidP="00524899">
            <w:pPr>
              <w:widowControl/>
              <w:jc w:val="left"/>
              <w:rPr>
                <w:rFonts w:ascii="宋体" w:hAnsi="宋体" w:cs="宋体"/>
                <w:kern w:val="0"/>
                <w:sz w:val="20"/>
                <w:szCs w:val="20"/>
              </w:rPr>
            </w:pPr>
            <w:r w:rsidRPr="00524899">
              <w:rPr>
                <w:rFonts w:ascii="宋体" w:hAnsi="宋体" w:cs="宋体" w:hint="eastAsia"/>
                <w:kern w:val="0"/>
                <w:sz w:val="20"/>
                <w:szCs w:val="20"/>
              </w:rPr>
              <w:t>城环垃圾处置公司</w:t>
            </w:r>
          </w:p>
        </w:tc>
        <w:tc>
          <w:tcPr>
            <w:tcW w:w="2940" w:type="dxa"/>
            <w:tcBorders>
              <w:top w:val="nil"/>
              <w:left w:val="nil"/>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249.07</w:t>
            </w:r>
          </w:p>
        </w:tc>
        <w:tc>
          <w:tcPr>
            <w:tcW w:w="3360" w:type="dxa"/>
            <w:tcBorders>
              <w:top w:val="nil"/>
              <w:left w:val="nil"/>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5.14</w:t>
            </w:r>
          </w:p>
        </w:tc>
      </w:tr>
      <w:tr w:rsidR="00524899" w:rsidRPr="00524899" w:rsidTr="00EA7FDA">
        <w:trPr>
          <w:trHeight w:val="72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524899" w:rsidRPr="00524899" w:rsidRDefault="00524899" w:rsidP="00524899">
            <w:pPr>
              <w:widowControl/>
              <w:jc w:val="left"/>
              <w:rPr>
                <w:rFonts w:ascii="宋体" w:hAnsi="宋体" w:cs="宋体"/>
                <w:color w:val="000000"/>
                <w:kern w:val="0"/>
                <w:sz w:val="22"/>
                <w:szCs w:val="22"/>
              </w:rPr>
            </w:pPr>
            <w:r w:rsidRPr="00524899">
              <w:rPr>
                <w:rFonts w:ascii="宋体" w:hAnsi="宋体" w:cs="宋体" w:hint="eastAsia"/>
                <w:color w:val="000000"/>
                <w:kern w:val="0"/>
                <w:sz w:val="22"/>
                <w:szCs w:val="22"/>
              </w:rPr>
              <w:t>路灯所</w:t>
            </w:r>
          </w:p>
        </w:tc>
        <w:tc>
          <w:tcPr>
            <w:tcW w:w="2940" w:type="dxa"/>
            <w:tcBorders>
              <w:top w:val="nil"/>
              <w:left w:val="nil"/>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658.98</w:t>
            </w:r>
          </w:p>
        </w:tc>
        <w:tc>
          <w:tcPr>
            <w:tcW w:w="3360" w:type="dxa"/>
            <w:tcBorders>
              <w:top w:val="nil"/>
              <w:left w:val="nil"/>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81.06</w:t>
            </w:r>
          </w:p>
        </w:tc>
      </w:tr>
      <w:tr w:rsidR="00524899" w:rsidRPr="00524899" w:rsidTr="00EA7FDA">
        <w:trPr>
          <w:trHeight w:val="72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合   计</w:t>
            </w:r>
          </w:p>
        </w:tc>
        <w:tc>
          <w:tcPr>
            <w:tcW w:w="2940" w:type="dxa"/>
            <w:tcBorders>
              <w:top w:val="nil"/>
              <w:left w:val="nil"/>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14293.03</w:t>
            </w:r>
          </w:p>
        </w:tc>
        <w:tc>
          <w:tcPr>
            <w:tcW w:w="3360" w:type="dxa"/>
            <w:tcBorders>
              <w:top w:val="nil"/>
              <w:left w:val="nil"/>
              <w:bottom w:val="single" w:sz="4" w:space="0" w:color="auto"/>
              <w:right w:val="single" w:sz="4" w:space="0" w:color="auto"/>
            </w:tcBorders>
            <w:shd w:val="clear" w:color="auto" w:fill="auto"/>
            <w:noWrap/>
            <w:vAlign w:val="center"/>
            <w:hideMark/>
          </w:tcPr>
          <w:p w:rsidR="00524899" w:rsidRPr="00524899" w:rsidRDefault="00524899" w:rsidP="00524899">
            <w:pPr>
              <w:widowControl/>
              <w:jc w:val="center"/>
              <w:rPr>
                <w:rFonts w:ascii="宋体" w:hAnsi="宋体" w:cs="宋体"/>
                <w:color w:val="000000"/>
                <w:kern w:val="0"/>
                <w:sz w:val="22"/>
                <w:szCs w:val="22"/>
              </w:rPr>
            </w:pPr>
            <w:r w:rsidRPr="00524899">
              <w:rPr>
                <w:rFonts w:ascii="宋体" w:hAnsi="宋体" w:cs="宋体" w:hint="eastAsia"/>
                <w:color w:val="000000"/>
                <w:kern w:val="0"/>
                <w:sz w:val="22"/>
                <w:szCs w:val="22"/>
              </w:rPr>
              <w:t>806.52</w:t>
            </w:r>
          </w:p>
        </w:tc>
      </w:tr>
    </w:tbl>
    <w:p w:rsidR="00D73E12" w:rsidRDefault="00054DAF" w:rsidP="0077313B">
      <w:pPr>
        <w:autoSpaceDE w:val="0"/>
        <w:autoSpaceDN w:val="0"/>
        <w:adjustRightInd w:val="0"/>
        <w:ind w:firstLineChars="250" w:firstLine="800"/>
        <w:jc w:val="left"/>
        <w:rPr>
          <w:rFonts w:ascii="黑体" w:eastAsia="黑体" w:hAnsi="黑体" w:cs="黑体" w:hint="eastAsia"/>
          <w:sz w:val="32"/>
          <w:szCs w:val="32"/>
        </w:rPr>
      </w:pPr>
      <w:r w:rsidRPr="00075D5F">
        <w:rPr>
          <w:rFonts w:ascii="黑体" w:eastAsia="黑体" w:hAnsi="黑体" w:cs="黑体" w:hint="eastAsia"/>
          <w:sz w:val="32"/>
          <w:szCs w:val="32"/>
        </w:rPr>
        <w:lastRenderedPageBreak/>
        <w:t>八、名词解释</w:t>
      </w:r>
      <w:r>
        <w:rPr>
          <w:rFonts w:ascii="黑体" w:eastAsia="黑体" w:hAnsi="黑体" w:cs="黑体" w:hint="eastAsia"/>
          <w:sz w:val="32"/>
          <w:szCs w:val="32"/>
        </w:rPr>
        <w:t>：</w:t>
      </w:r>
    </w:p>
    <w:p w:rsidR="00D73E12" w:rsidRPr="00D73E12" w:rsidRDefault="00D73E12" w:rsidP="0077313B">
      <w:pPr>
        <w:autoSpaceDE w:val="0"/>
        <w:autoSpaceDN w:val="0"/>
        <w:adjustRightInd w:val="0"/>
        <w:ind w:firstLineChars="250" w:firstLine="800"/>
        <w:jc w:val="left"/>
        <w:rPr>
          <w:rFonts w:ascii="仿宋" w:eastAsia="仿宋" w:hAnsi="仿宋" w:cs="黑体" w:hint="eastAsia"/>
          <w:sz w:val="32"/>
          <w:szCs w:val="32"/>
        </w:rPr>
      </w:pPr>
      <w:r w:rsidRPr="00D73E12">
        <w:rPr>
          <w:rFonts w:ascii="仿宋" w:eastAsia="仿宋" w:hAnsi="仿宋" w:cs="黑体" w:hint="eastAsia"/>
          <w:sz w:val="32"/>
          <w:szCs w:val="32"/>
        </w:rPr>
        <w:t>1、基本支出：指为保障机构正常运转、完成日常工作任务而发生的人员支出和公用支出。</w:t>
      </w:r>
    </w:p>
    <w:p w:rsidR="00D73E12" w:rsidRPr="00D73E12" w:rsidRDefault="00D73E12" w:rsidP="0077313B">
      <w:pPr>
        <w:autoSpaceDE w:val="0"/>
        <w:autoSpaceDN w:val="0"/>
        <w:adjustRightInd w:val="0"/>
        <w:ind w:firstLineChars="250" w:firstLine="800"/>
        <w:jc w:val="left"/>
        <w:rPr>
          <w:rFonts w:ascii="仿宋" w:eastAsia="仿宋" w:hAnsi="仿宋" w:cs="黑体" w:hint="eastAsia"/>
          <w:sz w:val="32"/>
          <w:szCs w:val="32"/>
        </w:rPr>
      </w:pPr>
      <w:r w:rsidRPr="00D73E12">
        <w:rPr>
          <w:rFonts w:ascii="仿宋" w:eastAsia="仿宋" w:hAnsi="仿宋" w:cs="黑体" w:hint="eastAsia"/>
          <w:sz w:val="32"/>
          <w:szCs w:val="32"/>
        </w:rPr>
        <w:t>2、项目支出：指在基本支出之外</w:t>
      </w:r>
      <w:bookmarkStart w:id="2" w:name="_GoBack"/>
      <w:r w:rsidRPr="00D73E12">
        <w:rPr>
          <w:rFonts w:ascii="仿宋" w:eastAsia="仿宋" w:hAnsi="仿宋" w:cs="黑体" w:hint="eastAsia"/>
          <w:sz w:val="32"/>
          <w:szCs w:val="32"/>
        </w:rPr>
        <w:t>为</w:t>
      </w:r>
      <w:bookmarkEnd w:id="2"/>
      <w:r w:rsidRPr="00D73E12">
        <w:rPr>
          <w:rFonts w:ascii="仿宋" w:eastAsia="仿宋" w:hAnsi="仿宋" w:cs="黑体" w:hint="eastAsia"/>
          <w:sz w:val="32"/>
          <w:szCs w:val="32"/>
        </w:rPr>
        <w:t>完成特定行政任务和事业发展目标所发生的支出。</w:t>
      </w:r>
    </w:p>
    <w:p w:rsidR="00054DAF" w:rsidRPr="00D73E12" w:rsidRDefault="00D73E12" w:rsidP="0077313B">
      <w:pPr>
        <w:autoSpaceDE w:val="0"/>
        <w:autoSpaceDN w:val="0"/>
        <w:adjustRightInd w:val="0"/>
        <w:ind w:firstLineChars="250" w:firstLine="800"/>
        <w:jc w:val="left"/>
        <w:rPr>
          <w:rFonts w:ascii="仿宋" w:eastAsia="仿宋" w:hAnsi="仿宋" w:cs="Times New Roman"/>
          <w:sz w:val="32"/>
          <w:szCs w:val="32"/>
        </w:rPr>
      </w:pPr>
      <w:r w:rsidRPr="00D73E12">
        <w:rPr>
          <w:rFonts w:ascii="仿宋" w:eastAsia="仿宋" w:hAnsi="仿宋" w:cs="黑体" w:hint="eastAsia"/>
          <w:sz w:val="32"/>
          <w:szCs w:val="32"/>
        </w:rPr>
        <w:t>3、“三公”经费：指市直部门用财政拨款安排的因公出国（境）费、公务用车购置及运行费和公务接待费。其中，因公出国（境）</w:t>
      </w:r>
      <w:proofErr w:type="gramStart"/>
      <w:r w:rsidRPr="00D73E12">
        <w:rPr>
          <w:rFonts w:ascii="仿宋" w:eastAsia="仿宋" w:hAnsi="仿宋" w:cs="黑体" w:hint="eastAsia"/>
          <w:sz w:val="32"/>
          <w:szCs w:val="32"/>
        </w:rPr>
        <w:t>费反映</w:t>
      </w:r>
      <w:proofErr w:type="gramEnd"/>
      <w:r w:rsidRPr="00D73E12">
        <w:rPr>
          <w:rFonts w:ascii="仿宋" w:eastAsia="仿宋" w:hAnsi="仿宋" w:cs="黑体" w:hint="eastAsia"/>
          <w:sz w:val="32"/>
          <w:szCs w:val="32"/>
        </w:rPr>
        <w:t>单位公务出国（境）住宿费、旅费、伙食补助费、杂费、培训费等支出；公务用车购置及运行</w:t>
      </w:r>
      <w:proofErr w:type="gramStart"/>
      <w:r w:rsidRPr="00D73E12">
        <w:rPr>
          <w:rFonts w:ascii="仿宋" w:eastAsia="仿宋" w:hAnsi="仿宋" w:cs="黑体" w:hint="eastAsia"/>
          <w:sz w:val="32"/>
          <w:szCs w:val="32"/>
        </w:rPr>
        <w:t>费反映</w:t>
      </w:r>
      <w:proofErr w:type="gramEnd"/>
      <w:r w:rsidRPr="00D73E12">
        <w:rPr>
          <w:rFonts w:ascii="仿宋" w:eastAsia="仿宋" w:hAnsi="仿宋" w:cs="黑体" w:hint="eastAsia"/>
          <w:sz w:val="32"/>
          <w:szCs w:val="32"/>
        </w:rPr>
        <w:t>单位公务用车购置及租用费、燃料费、维修费、过路过桥费、保险费、安全奖励费用等支出；公务接待</w:t>
      </w:r>
      <w:proofErr w:type="gramStart"/>
      <w:r w:rsidRPr="00D73E12">
        <w:rPr>
          <w:rFonts w:ascii="仿宋" w:eastAsia="仿宋" w:hAnsi="仿宋" w:cs="黑体" w:hint="eastAsia"/>
          <w:sz w:val="32"/>
          <w:szCs w:val="32"/>
        </w:rPr>
        <w:t>费反映</w:t>
      </w:r>
      <w:proofErr w:type="gramEnd"/>
      <w:r w:rsidRPr="00D73E12">
        <w:rPr>
          <w:rFonts w:ascii="仿宋" w:eastAsia="仿宋" w:hAnsi="仿宋" w:cs="黑体" w:hint="eastAsia"/>
          <w:sz w:val="32"/>
          <w:szCs w:val="32"/>
        </w:rPr>
        <w:t>单位按规定开支的各类公务接待（含外宾接待）支出。</w:t>
      </w:r>
    </w:p>
    <w:p w:rsidR="00054DAF" w:rsidRPr="00075D5F" w:rsidRDefault="00524899" w:rsidP="0077313B">
      <w:pPr>
        <w:autoSpaceDE w:val="0"/>
        <w:autoSpaceDN w:val="0"/>
        <w:adjustRightInd w:val="0"/>
        <w:ind w:firstLineChars="250" w:firstLine="800"/>
        <w:jc w:val="left"/>
        <w:rPr>
          <w:rFonts w:ascii="黑体" w:eastAsia="黑体" w:hAnsi="黑体" w:cs="Times New Roman"/>
          <w:sz w:val="32"/>
          <w:szCs w:val="32"/>
        </w:rPr>
      </w:pPr>
      <w:r>
        <w:rPr>
          <w:rFonts w:ascii="黑体" w:eastAsia="黑体" w:hAnsi="黑体" w:cs="黑体" w:hint="eastAsia"/>
          <w:sz w:val="32"/>
          <w:szCs w:val="32"/>
        </w:rPr>
        <w:t>九、其他说明：</w:t>
      </w:r>
      <w:r w:rsidR="00054DAF">
        <w:rPr>
          <w:rFonts w:ascii="黑体" w:eastAsia="黑体" w:hAnsi="黑体" w:cs="黑体"/>
          <w:sz w:val="32"/>
          <w:szCs w:val="32"/>
        </w:rPr>
        <w:t>2017</w:t>
      </w:r>
      <w:r w:rsidR="00054DAF">
        <w:rPr>
          <w:rFonts w:ascii="黑体" w:eastAsia="黑体" w:hAnsi="黑体" w:cs="黑体" w:hint="eastAsia"/>
          <w:sz w:val="32"/>
          <w:szCs w:val="32"/>
        </w:rPr>
        <w:t>年预算信息已全部公开</w:t>
      </w:r>
      <w:r>
        <w:rPr>
          <w:rFonts w:ascii="黑体" w:eastAsia="黑体" w:hAnsi="黑体" w:cs="黑体" w:hint="eastAsia"/>
          <w:sz w:val="32"/>
          <w:szCs w:val="32"/>
        </w:rPr>
        <w:t>，具体</w:t>
      </w:r>
      <w:proofErr w:type="gramStart"/>
      <w:r>
        <w:rPr>
          <w:rFonts w:ascii="黑体" w:eastAsia="黑体" w:hAnsi="黑体" w:cs="黑体" w:hint="eastAsia"/>
          <w:sz w:val="32"/>
          <w:szCs w:val="32"/>
        </w:rPr>
        <w:t>明细请</w:t>
      </w:r>
      <w:proofErr w:type="gramEnd"/>
      <w:r>
        <w:rPr>
          <w:rFonts w:ascii="黑体" w:eastAsia="黑体" w:hAnsi="黑体" w:cs="黑体" w:hint="eastAsia"/>
          <w:sz w:val="32"/>
          <w:szCs w:val="32"/>
        </w:rPr>
        <w:t>查阅《</w:t>
      </w:r>
      <w:r w:rsidRPr="00524899">
        <w:rPr>
          <w:rFonts w:ascii="黑体" w:eastAsia="黑体" w:hAnsi="黑体" w:cs="黑体" w:hint="eastAsia"/>
          <w:sz w:val="32"/>
          <w:szCs w:val="32"/>
        </w:rPr>
        <w:t>唐山市城市管理局2017年部门及所属单位汇总预算</w:t>
      </w:r>
      <w:r>
        <w:rPr>
          <w:rFonts w:ascii="黑体" w:eastAsia="黑体" w:hAnsi="黑体" w:cs="黑体" w:hint="eastAsia"/>
          <w:sz w:val="32"/>
          <w:szCs w:val="32"/>
        </w:rPr>
        <w:t>》。</w:t>
      </w:r>
    </w:p>
    <w:p w:rsidR="00054DAF" w:rsidRPr="00973104" w:rsidRDefault="00054DAF" w:rsidP="00C22097">
      <w:pPr>
        <w:ind w:firstLineChars="200" w:firstLine="640"/>
        <w:rPr>
          <w:rFonts w:ascii="Times New Roman" w:eastAsia="方正仿宋_GBK" w:hAnsi="Times New Roman" w:cs="Times New Roman"/>
          <w:sz w:val="32"/>
          <w:szCs w:val="32"/>
        </w:rPr>
      </w:pPr>
    </w:p>
    <w:sectPr w:rsidR="00054DAF" w:rsidRPr="00973104" w:rsidSect="00EC47F6">
      <w:pgSz w:w="16838" w:h="11906" w:orient="landscape" w:code="9"/>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56F" w:rsidRDefault="0079656F" w:rsidP="00314C7B">
      <w:pPr>
        <w:rPr>
          <w:rFonts w:cs="Times New Roman"/>
        </w:rPr>
      </w:pPr>
      <w:r>
        <w:rPr>
          <w:rFonts w:cs="Times New Roman"/>
        </w:rPr>
        <w:separator/>
      </w:r>
    </w:p>
  </w:endnote>
  <w:endnote w:type="continuationSeparator" w:id="0">
    <w:p w:rsidR="0079656F" w:rsidRDefault="0079656F" w:rsidP="00314C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3F" w:rsidRDefault="006050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232624"/>
      <w:docPartObj>
        <w:docPartGallery w:val="Page Numbers (Bottom of Page)"/>
        <w:docPartUnique/>
      </w:docPartObj>
    </w:sdtPr>
    <w:sdtEndPr/>
    <w:sdtContent>
      <w:sdt>
        <w:sdtPr>
          <w:id w:val="-1669238322"/>
          <w:docPartObj>
            <w:docPartGallery w:val="Page Numbers (Top of Page)"/>
            <w:docPartUnique/>
          </w:docPartObj>
        </w:sdtPr>
        <w:sdtEndPr/>
        <w:sdtContent>
          <w:p w:rsidR="0060503F" w:rsidRDefault="0060503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73E12">
              <w:rPr>
                <w:b/>
                <w:bCs/>
                <w:noProof/>
              </w:rPr>
              <w:t>177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73E12">
              <w:rPr>
                <w:b/>
                <w:bCs/>
                <w:noProof/>
              </w:rPr>
              <w:t>179</w:t>
            </w:r>
            <w:r>
              <w:rPr>
                <w:b/>
                <w:bCs/>
                <w:sz w:val="24"/>
                <w:szCs w:val="24"/>
              </w:rPr>
              <w:fldChar w:fldCharType="end"/>
            </w:r>
          </w:p>
        </w:sdtContent>
      </w:sdt>
    </w:sdtContent>
  </w:sdt>
  <w:p w:rsidR="0060503F" w:rsidRDefault="0060503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3F" w:rsidRDefault="006050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56F" w:rsidRDefault="0079656F" w:rsidP="00314C7B">
      <w:pPr>
        <w:rPr>
          <w:rFonts w:cs="Times New Roman"/>
        </w:rPr>
      </w:pPr>
      <w:r>
        <w:rPr>
          <w:rFonts w:cs="Times New Roman"/>
        </w:rPr>
        <w:separator/>
      </w:r>
    </w:p>
  </w:footnote>
  <w:footnote w:type="continuationSeparator" w:id="0">
    <w:p w:rsidR="0079656F" w:rsidRDefault="0079656F" w:rsidP="00314C7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3F" w:rsidRDefault="006050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2E4" w:rsidRDefault="007E22E4" w:rsidP="007E22E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3F" w:rsidRDefault="006050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F0F18"/>
    <w:multiLevelType w:val="hybridMultilevel"/>
    <w:tmpl w:val="2BBA0B96"/>
    <w:lvl w:ilvl="0" w:tplc="A72CD9F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54DAF"/>
    <w:rsid w:val="00075D5F"/>
    <w:rsid w:val="000B3E8D"/>
    <w:rsid w:val="000C3A19"/>
    <w:rsid w:val="001245BB"/>
    <w:rsid w:val="001603C5"/>
    <w:rsid w:val="00207F0F"/>
    <w:rsid w:val="00241FD4"/>
    <w:rsid w:val="00251B12"/>
    <w:rsid w:val="00296113"/>
    <w:rsid w:val="002F3E58"/>
    <w:rsid w:val="0030542C"/>
    <w:rsid w:val="00311B7A"/>
    <w:rsid w:val="0031300B"/>
    <w:rsid w:val="00314C7B"/>
    <w:rsid w:val="004349DB"/>
    <w:rsid w:val="00451871"/>
    <w:rsid w:val="00472923"/>
    <w:rsid w:val="004E3066"/>
    <w:rsid w:val="004E74CD"/>
    <w:rsid w:val="00524899"/>
    <w:rsid w:val="00573562"/>
    <w:rsid w:val="0060503F"/>
    <w:rsid w:val="00614A29"/>
    <w:rsid w:val="00674BEF"/>
    <w:rsid w:val="006B1710"/>
    <w:rsid w:val="006E3FDA"/>
    <w:rsid w:val="0075393C"/>
    <w:rsid w:val="00753F90"/>
    <w:rsid w:val="0077313B"/>
    <w:rsid w:val="00776C08"/>
    <w:rsid w:val="0079656F"/>
    <w:rsid w:val="007E1DA8"/>
    <w:rsid w:val="007E22E4"/>
    <w:rsid w:val="007E5891"/>
    <w:rsid w:val="007F6C26"/>
    <w:rsid w:val="008334AE"/>
    <w:rsid w:val="00836FED"/>
    <w:rsid w:val="00845CD2"/>
    <w:rsid w:val="00852B0D"/>
    <w:rsid w:val="00881692"/>
    <w:rsid w:val="00887B5F"/>
    <w:rsid w:val="008B3CC5"/>
    <w:rsid w:val="008E4261"/>
    <w:rsid w:val="008F3E86"/>
    <w:rsid w:val="008F4662"/>
    <w:rsid w:val="00905D08"/>
    <w:rsid w:val="00925753"/>
    <w:rsid w:val="00966C5C"/>
    <w:rsid w:val="00973104"/>
    <w:rsid w:val="009C7549"/>
    <w:rsid w:val="00A72D2E"/>
    <w:rsid w:val="00A867D7"/>
    <w:rsid w:val="00A911E7"/>
    <w:rsid w:val="00A939D9"/>
    <w:rsid w:val="00AF2272"/>
    <w:rsid w:val="00B20712"/>
    <w:rsid w:val="00B43238"/>
    <w:rsid w:val="00B75216"/>
    <w:rsid w:val="00B91D52"/>
    <w:rsid w:val="00BA1ACD"/>
    <w:rsid w:val="00C22097"/>
    <w:rsid w:val="00C55D12"/>
    <w:rsid w:val="00CA7176"/>
    <w:rsid w:val="00CC163D"/>
    <w:rsid w:val="00CD2773"/>
    <w:rsid w:val="00CE143B"/>
    <w:rsid w:val="00CE5B01"/>
    <w:rsid w:val="00D73E12"/>
    <w:rsid w:val="00D74B13"/>
    <w:rsid w:val="00DB151C"/>
    <w:rsid w:val="00E167C7"/>
    <w:rsid w:val="00EA7FDA"/>
    <w:rsid w:val="00EB7597"/>
    <w:rsid w:val="00EC47F6"/>
    <w:rsid w:val="00EE59A1"/>
    <w:rsid w:val="00F66032"/>
    <w:rsid w:val="00F72A98"/>
    <w:rsid w:val="00F9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rPr>
      <w:rFonts w:cs="Calibri"/>
      <w:szCs w:val="21"/>
    </w:rPr>
  </w:style>
  <w:style w:type="paragraph" w:styleId="1">
    <w:name w:val="heading 1"/>
    <w:basedOn w:val="a"/>
    <w:next w:val="a"/>
    <w:link w:val="1Char"/>
    <w:uiPriority w:val="9"/>
    <w:qFormat/>
    <w:locked/>
    <w:rsid w:val="007E22E4"/>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1245BB"/>
    <w:rPr>
      <w:rFonts w:ascii="Times New Roman" w:hAnsi="Times New Roman" w:cs="Times New Roman"/>
    </w:rPr>
  </w:style>
  <w:style w:type="paragraph" w:styleId="2">
    <w:name w:val="toc 2"/>
    <w:basedOn w:val="a"/>
    <w:next w:val="a"/>
    <w:autoRedefine/>
    <w:uiPriority w:val="99"/>
    <w:semiHidden/>
    <w:rsid w:val="001245BB"/>
    <w:pPr>
      <w:ind w:leftChars="200" w:left="420"/>
    </w:pPr>
    <w:rPr>
      <w:rFonts w:ascii="Times New Roman" w:hAnsi="Times New Roman" w:cs="Times New Roman"/>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
    <w:name w:val="页眉 Char"/>
    <w:basedOn w:val="a0"/>
    <w:link w:val="a3"/>
    <w:uiPriority w:val="99"/>
    <w:locked/>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hAnsi="Times New Roman" w:cs="Times New Roman"/>
      <w:sz w:val="18"/>
      <w:szCs w:val="18"/>
    </w:rPr>
  </w:style>
  <w:style w:type="character" w:customStyle="1" w:styleId="Char0">
    <w:name w:val="页脚 Char"/>
    <w:basedOn w:val="a0"/>
    <w:link w:val="a4"/>
    <w:uiPriority w:val="99"/>
    <w:locked/>
    <w:rsid w:val="001245BB"/>
    <w:rPr>
      <w:rFonts w:ascii="Times New Roman" w:eastAsia="宋体" w:hAnsi="Times New Roman" w:cs="Times New Roman"/>
      <w:sz w:val="18"/>
      <w:szCs w:val="18"/>
    </w:rPr>
  </w:style>
  <w:style w:type="paragraph" w:styleId="a5">
    <w:name w:val="List Paragraph"/>
    <w:basedOn w:val="a"/>
    <w:qFormat/>
    <w:rsid w:val="004349DB"/>
    <w:pPr>
      <w:ind w:firstLineChars="200" w:firstLine="420"/>
    </w:pPr>
  </w:style>
  <w:style w:type="character" w:customStyle="1" w:styleId="1Char">
    <w:name w:val="标题 1 Char"/>
    <w:basedOn w:val="a0"/>
    <w:link w:val="1"/>
    <w:uiPriority w:val="9"/>
    <w:rsid w:val="007E22E4"/>
    <w:rPr>
      <w:rFonts w:asciiTheme="minorHAnsi" w:eastAsiaTheme="minorEastAsia" w:hAnsiTheme="minorHAnsi" w:cstheme="minorBidi"/>
      <w:b/>
      <w:bCs/>
      <w:kern w:val="44"/>
      <w:sz w:val="44"/>
      <w:szCs w:val="44"/>
    </w:rPr>
  </w:style>
  <w:style w:type="character" w:customStyle="1" w:styleId="Char1">
    <w:name w:val="标题 Char"/>
    <w:basedOn w:val="a0"/>
    <w:link w:val="a6"/>
    <w:uiPriority w:val="10"/>
    <w:rsid w:val="007E22E4"/>
    <w:rPr>
      <w:rFonts w:ascii="Cambria" w:hAnsi="Cambria"/>
      <w:b/>
      <w:bCs/>
      <w:sz w:val="32"/>
      <w:szCs w:val="32"/>
    </w:rPr>
  </w:style>
  <w:style w:type="paragraph" w:styleId="a6">
    <w:name w:val="Title"/>
    <w:basedOn w:val="a"/>
    <w:next w:val="a"/>
    <w:link w:val="Char1"/>
    <w:uiPriority w:val="10"/>
    <w:qFormat/>
    <w:locked/>
    <w:rsid w:val="007E22E4"/>
    <w:pPr>
      <w:spacing w:before="240" w:after="60"/>
      <w:jc w:val="center"/>
      <w:outlineLvl w:val="0"/>
    </w:pPr>
    <w:rPr>
      <w:rFonts w:ascii="Cambria" w:hAnsi="Cambria" w:cs="Times New Roman"/>
      <w:b/>
      <w:bCs/>
      <w:sz w:val="32"/>
      <w:szCs w:val="32"/>
    </w:rPr>
  </w:style>
  <w:style w:type="paragraph" w:customStyle="1" w:styleId="p0">
    <w:name w:val="p0"/>
    <w:basedOn w:val="a"/>
    <w:rsid w:val="00524899"/>
    <w:pPr>
      <w:widowControl/>
    </w:pPr>
    <w:rPr>
      <w:rFonts w:ascii="Times New Roman" w:eastAsia="Times New Roman" w:hAnsi="Times New Roman" w:cs="Times New Roman"/>
      <w:kern w:val="0"/>
      <w:szCs w:val="20"/>
      <w:lang w:eastAsia="en-US"/>
    </w:rPr>
  </w:style>
  <w:style w:type="paragraph" w:customStyle="1" w:styleId="11">
    <w:name w:val="正文文本1"/>
    <w:basedOn w:val="a"/>
    <w:rsid w:val="00524899"/>
    <w:pPr>
      <w:widowControl/>
    </w:pPr>
    <w:rPr>
      <w:rFonts w:ascii="Times New Roman" w:eastAsia="Times New Roman" w:hAnsi="Times New Roman" w:cs="Times New Roman"/>
      <w:noProof/>
      <w:kern w:val="0"/>
      <w:sz w:val="32"/>
      <w:szCs w:val="20"/>
      <w:lang w:eastAsia="en-US"/>
    </w:rPr>
  </w:style>
  <w:style w:type="character" w:styleId="a7">
    <w:name w:val="Hyperlink"/>
    <w:basedOn w:val="a0"/>
    <w:uiPriority w:val="99"/>
    <w:unhideWhenUsed/>
    <w:rsid w:val="005248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rPr>
      <w:rFonts w:cs="Calibri"/>
      <w:szCs w:val="21"/>
    </w:rPr>
  </w:style>
  <w:style w:type="paragraph" w:styleId="1">
    <w:name w:val="heading 1"/>
    <w:basedOn w:val="a"/>
    <w:next w:val="a"/>
    <w:link w:val="1Char"/>
    <w:uiPriority w:val="9"/>
    <w:qFormat/>
    <w:locked/>
    <w:rsid w:val="007E22E4"/>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1245BB"/>
    <w:rPr>
      <w:rFonts w:ascii="Times New Roman" w:hAnsi="Times New Roman" w:cs="Times New Roman"/>
    </w:rPr>
  </w:style>
  <w:style w:type="paragraph" w:styleId="2">
    <w:name w:val="toc 2"/>
    <w:basedOn w:val="a"/>
    <w:next w:val="a"/>
    <w:autoRedefine/>
    <w:uiPriority w:val="99"/>
    <w:semiHidden/>
    <w:rsid w:val="001245BB"/>
    <w:pPr>
      <w:ind w:leftChars="200" w:left="420"/>
    </w:pPr>
    <w:rPr>
      <w:rFonts w:ascii="Times New Roman" w:hAnsi="Times New Roman" w:cs="Times New Roman"/>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
    <w:name w:val="页眉 Char"/>
    <w:basedOn w:val="a0"/>
    <w:link w:val="a3"/>
    <w:uiPriority w:val="99"/>
    <w:locked/>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hAnsi="Times New Roman" w:cs="Times New Roman"/>
      <w:sz w:val="18"/>
      <w:szCs w:val="18"/>
    </w:rPr>
  </w:style>
  <w:style w:type="character" w:customStyle="1" w:styleId="Char0">
    <w:name w:val="页脚 Char"/>
    <w:basedOn w:val="a0"/>
    <w:link w:val="a4"/>
    <w:uiPriority w:val="99"/>
    <w:locked/>
    <w:rsid w:val="001245BB"/>
    <w:rPr>
      <w:rFonts w:ascii="Times New Roman" w:eastAsia="宋体" w:hAnsi="Times New Roman" w:cs="Times New Roman"/>
      <w:sz w:val="18"/>
      <w:szCs w:val="18"/>
    </w:rPr>
  </w:style>
  <w:style w:type="paragraph" w:styleId="a5">
    <w:name w:val="List Paragraph"/>
    <w:basedOn w:val="a"/>
    <w:qFormat/>
    <w:rsid w:val="004349DB"/>
    <w:pPr>
      <w:ind w:firstLineChars="200" w:firstLine="420"/>
    </w:pPr>
  </w:style>
  <w:style w:type="character" w:customStyle="1" w:styleId="1Char">
    <w:name w:val="标题 1 Char"/>
    <w:basedOn w:val="a0"/>
    <w:link w:val="1"/>
    <w:uiPriority w:val="9"/>
    <w:rsid w:val="007E22E4"/>
    <w:rPr>
      <w:rFonts w:asciiTheme="minorHAnsi" w:eastAsiaTheme="minorEastAsia" w:hAnsiTheme="minorHAnsi" w:cstheme="minorBidi"/>
      <w:b/>
      <w:bCs/>
      <w:kern w:val="44"/>
      <w:sz w:val="44"/>
      <w:szCs w:val="44"/>
    </w:rPr>
  </w:style>
  <w:style w:type="character" w:customStyle="1" w:styleId="Char1">
    <w:name w:val="标题 Char"/>
    <w:basedOn w:val="a0"/>
    <w:link w:val="a6"/>
    <w:uiPriority w:val="10"/>
    <w:rsid w:val="007E22E4"/>
    <w:rPr>
      <w:rFonts w:ascii="Cambria" w:hAnsi="Cambria"/>
      <w:b/>
      <w:bCs/>
      <w:sz w:val="32"/>
      <w:szCs w:val="32"/>
    </w:rPr>
  </w:style>
  <w:style w:type="paragraph" w:styleId="a6">
    <w:name w:val="Title"/>
    <w:basedOn w:val="a"/>
    <w:next w:val="a"/>
    <w:link w:val="Char1"/>
    <w:uiPriority w:val="10"/>
    <w:qFormat/>
    <w:locked/>
    <w:rsid w:val="007E22E4"/>
    <w:pPr>
      <w:spacing w:before="240" w:after="60"/>
      <w:jc w:val="center"/>
      <w:outlineLvl w:val="0"/>
    </w:pPr>
    <w:rPr>
      <w:rFonts w:ascii="Cambria" w:hAnsi="Cambria" w:cs="Times New Roman"/>
      <w:b/>
      <w:bCs/>
      <w:sz w:val="32"/>
      <w:szCs w:val="32"/>
    </w:rPr>
  </w:style>
  <w:style w:type="paragraph" w:customStyle="1" w:styleId="p0">
    <w:name w:val="p0"/>
    <w:basedOn w:val="a"/>
    <w:rsid w:val="00524899"/>
    <w:pPr>
      <w:widowControl/>
    </w:pPr>
    <w:rPr>
      <w:rFonts w:ascii="Times New Roman" w:eastAsia="Times New Roman" w:hAnsi="Times New Roman" w:cs="Times New Roman"/>
      <w:kern w:val="0"/>
      <w:szCs w:val="20"/>
      <w:lang w:eastAsia="en-US"/>
    </w:rPr>
  </w:style>
  <w:style w:type="paragraph" w:customStyle="1" w:styleId="11">
    <w:name w:val="正文文本1"/>
    <w:basedOn w:val="a"/>
    <w:rsid w:val="00524899"/>
    <w:pPr>
      <w:widowControl/>
    </w:pPr>
    <w:rPr>
      <w:rFonts w:ascii="Times New Roman" w:eastAsia="Times New Roman" w:hAnsi="Times New Roman" w:cs="Times New Roman"/>
      <w:noProof/>
      <w:kern w:val="0"/>
      <w:sz w:val="32"/>
      <w:szCs w:val="20"/>
      <w:lang w:eastAsia="en-US"/>
    </w:rPr>
  </w:style>
  <w:style w:type="character" w:styleId="a7">
    <w:name w:val="Hyperlink"/>
    <w:basedOn w:val="a0"/>
    <w:uiPriority w:val="99"/>
    <w:unhideWhenUsed/>
    <w:rsid w:val="005248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6333">
      <w:marLeft w:val="0"/>
      <w:marRight w:val="0"/>
      <w:marTop w:val="0"/>
      <w:marBottom w:val="0"/>
      <w:divBdr>
        <w:top w:val="none" w:sz="0" w:space="0" w:color="auto"/>
        <w:left w:val="none" w:sz="0" w:space="0" w:color="auto"/>
        <w:bottom w:val="none" w:sz="0" w:space="0" w:color="auto"/>
        <w:right w:val="none" w:sz="0" w:space="0" w:color="auto"/>
      </w:divBdr>
    </w:div>
    <w:div w:id="508566334">
      <w:marLeft w:val="0"/>
      <w:marRight w:val="0"/>
      <w:marTop w:val="0"/>
      <w:marBottom w:val="0"/>
      <w:divBdr>
        <w:top w:val="none" w:sz="0" w:space="0" w:color="auto"/>
        <w:left w:val="none" w:sz="0" w:space="0" w:color="auto"/>
        <w:bottom w:val="none" w:sz="0" w:space="0" w:color="auto"/>
        <w:right w:val="none" w:sz="0" w:space="0" w:color="auto"/>
      </w:divBdr>
    </w:div>
    <w:div w:id="508566335">
      <w:marLeft w:val="0"/>
      <w:marRight w:val="0"/>
      <w:marTop w:val="0"/>
      <w:marBottom w:val="0"/>
      <w:divBdr>
        <w:top w:val="none" w:sz="0" w:space="0" w:color="auto"/>
        <w:left w:val="none" w:sz="0" w:space="0" w:color="auto"/>
        <w:bottom w:val="none" w:sz="0" w:space="0" w:color="auto"/>
        <w:right w:val="none" w:sz="0" w:space="0" w:color="auto"/>
      </w:divBdr>
    </w:div>
    <w:div w:id="508566336">
      <w:marLeft w:val="0"/>
      <w:marRight w:val="0"/>
      <w:marTop w:val="0"/>
      <w:marBottom w:val="0"/>
      <w:divBdr>
        <w:top w:val="none" w:sz="0" w:space="0" w:color="auto"/>
        <w:left w:val="none" w:sz="0" w:space="0" w:color="auto"/>
        <w:bottom w:val="none" w:sz="0" w:space="0" w:color="auto"/>
        <w:right w:val="none" w:sz="0" w:space="0" w:color="auto"/>
      </w:divBdr>
    </w:div>
    <w:div w:id="508566337">
      <w:marLeft w:val="0"/>
      <w:marRight w:val="0"/>
      <w:marTop w:val="0"/>
      <w:marBottom w:val="0"/>
      <w:divBdr>
        <w:top w:val="none" w:sz="0" w:space="0" w:color="auto"/>
        <w:left w:val="none" w:sz="0" w:space="0" w:color="auto"/>
        <w:bottom w:val="none" w:sz="0" w:space="0" w:color="auto"/>
        <w:right w:val="none" w:sz="0" w:space="0" w:color="auto"/>
      </w:divBdr>
    </w:div>
    <w:div w:id="508566338">
      <w:marLeft w:val="0"/>
      <w:marRight w:val="0"/>
      <w:marTop w:val="0"/>
      <w:marBottom w:val="0"/>
      <w:divBdr>
        <w:top w:val="none" w:sz="0" w:space="0" w:color="auto"/>
        <w:left w:val="none" w:sz="0" w:space="0" w:color="auto"/>
        <w:bottom w:val="none" w:sz="0" w:space="0" w:color="auto"/>
        <w:right w:val="none" w:sz="0" w:space="0" w:color="auto"/>
      </w:divBdr>
    </w:div>
    <w:div w:id="508566339">
      <w:marLeft w:val="0"/>
      <w:marRight w:val="0"/>
      <w:marTop w:val="0"/>
      <w:marBottom w:val="0"/>
      <w:divBdr>
        <w:top w:val="none" w:sz="0" w:space="0" w:color="auto"/>
        <w:left w:val="none" w:sz="0" w:space="0" w:color="auto"/>
        <w:bottom w:val="none" w:sz="0" w:space="0" w:color="auto"/>
        <w:right w:val="none" w:sz="0" w:space="0" w:color="auto"/>
      </w:divBdr>
    </w:div>
    <w:div w:id="508566340">
      <w:marLeft w:val="0"/>
      <w:marRight w:val="0"/>
      <w:marTop w:val="0"/>
      <w:marBottom w:val="0"/>
      <w:divBdr>
        <w:top w:val="none" w:sz="0" w:space="0" w:color="auto"/>
        <w:left w:val="none" w:sz="0" w:space="0" w:color="auto"/>
        <w:bottom w:val="none" w:sz="0" w:space="0" w:color="auto"/>
        <w:right w:val="none" w:sz="0" w:space="0" w:color="auto"/>
      </w:divBdr>
    </w:div>
    <w:div w:id="508566341">
      <w:marLeft w:val="0"/>
      <w:marRight w:val="0"/>
      <w:marTop w:val="0"/>
      <w:marBottom w:val="0"/>
      <w:divBdr>
        <w:top w:val="none" w:sz="0" w:space="0" w:color="auto"/>
        <w:left w:val="none" w:sz="0" w:space="0" w:color="auto"/>
        <w:bottom w:val="none" w:sz="0" w:space="0" w:color="auto"/>
        <w:right w:val="none" w:sz="0" w:space="0" w:color="auto"/>
      </w:divBdr>
    </w:div>
    <w:div w:id="508566342">
      <w:marLeft w:val="0"/>
      <w:marRight w:val="0"/>
      <w:marTop w:val="0"/>
      <w:marBottom w:val="0"/>
      <w:divBdr>
        <w:top w:val="none" w:sz="0" w:space="0" w:color="auto"/>
        <w:left w:val="none" w:sz="0" w:space="0" w:color="auto"/>
        <w:bottom w:val="none" w:sz="0" w:space="0" w:color="auto"/>
        <w:right w:val="none" w:sz="0" w:space="0" w:color="auto"/>
      </w:divBdr>
    </w:div>
    <w:div w:id="508566343">
      <w:marLeft w:val="0"/>
      <w:marRight w:val="0"/>
      <w:marTop w:val="0"/>
      <w:marBottom w:val="0"/>
      <w:divBdr>
        <w:top w:val="none" w:sz="0" w:space="0" w:color="auto"/>
        <w:left w:val="none" w:sz="0" w:space="0" w:color="auto"/>
        <w:bottom w:val="none" w:sz="0" w:space="0" w:color="auto"/>
        <w:right w:val="none" w:sz="0" w:space="0" w:color="auto"/>
      </w:divBdr>
    </w:div>
    <w:div w:id="508566344">
      <w:marLeft w:val="0"/>
      <w:marRight w:val="0"/>
      <w:marTop w:val="0"/>
      <w:marBottom w:val="0"/>
      <w:divBdr>
        <w:top w:val="none" w:sz="0" w:space="0" w:color="auto"/>
        <w:left w:val="none" w:sz="0" w:space="0" w:color="auto"/>
        <w:bottom w:val="none" w:sz="0" w:space="0" w:color="auto"/>
        <w:right w:val="none" w:sz="0" w:space="0" w:color="auto"/>
      </w:divBdr>
    </w:div>
    <w:div w:id="14889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179</Pages>
  <Words>8547</Words>
  <Characters>48721</Characters>
  <Application>Microsoft Office Word</Application>
  <DocSecurity>0</DocSecurity>
  <Lines>406</Lines>
  <Paragraphs>114</Paragraphs>
  <ScaleCrop>false</ScaleCrop>
  <Company>www.ftpdown.com</Company>
  <LinksUpToDate>false</LinksUpToDate>
  <CharactersWithSpaces>57154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么铮</cp:lastModifiedBy>
  <cp:revision>8</cp:revision>
  <dcterms:created xsi:type="dcterms:W3CDTF">2017-06-22T03:18:00Z</dcterms:created>
  <dcterms:modified xsi:type="dcterms:W3CDTF">2017-11-02T02:11:00Z</dcterms:modified>
</cp:coreProperties>
</file>